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DD6C" w14:textId="32774569" w:rsidR="00035FB4" w:rsidRPr="00A84DD1" w:rsidRDefault="006855A4">
      <w:pPr>
        <w:rPr>
          <w:rFonts w:ascii="Arial" w:hAnsi="Arial" w:cs="Arial"/>
          <w:color w:val="000000" w:themeColor="text1"/>
          <w:sz w:val="24"/>
        </w:rPr>
      </w:pPr>
      <w:r w:rsidRPr="00A84DD1">
        <w:rPr>
          <w:rFonts w:ascii="Arial" w:hAnsi="Arial" w:cs="Arial"/>
          <w:noProof/>
          <w:color w:val="000000" w:themeColor="text1"/>
          <w:sz w:val="24"/>
          <w:lang w:eastAsia="en-GB"/>
        </w:rPr>
        <w:drawing>
          <wp:anchor distT="0" distB="0" distL="114300" distR="114300" simplePos="0" relativeHeight="251658240" behindDoc="0" locked="0" layoutInCell="1" allowOverlap="1" wp14:anchorId="134B344E" wp14:editId="47224A0F">
            <wp:simplePos x="0" y="0"/>
            <wp:positionH relativeFrom="column">
              <wp:posOffset>4505325</wp:posOffset>
            </wp:positionH>
            <wp:positionV relativeFrom="paragraph">
              <wp:posOffset>-533400</wp:posOffset>
            </wp:positionV>
            <wp:extent cx="876300" cy="876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BF08-Logo-FIN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213D05" w14:textId="77777777" w:rsidR="00035FB4" w:rsidRPr="00A84DD1" w:rsidRDefault="00035FB4">
      <w:pPr>
        <w:rPr>
          <w:rFonts w:ascii="Arial" w:hAnsi="Arial" w:cs="Arial"/>
          <w:color w:val="000000" w:themeColor="text1"/>
          <w:sz w:val="24"/>
        </w:rPr>
      </w:pPr>
    </w:p>
    <w:p w14:paraId="282EB8EB" w14:textId="77777777" w:rsidR="00035FB4" w:rsidRPr="00A84DD1" w:rsidRDefault="00035FB4">
      <w:pPr>
        <w:rPr>
          <w:rFonts w:ascii="Arial" w:hAnsi="Arial" w:cs="Arial"/>
          <w:color w:val="000000" w:themeColor="text1"/>
          <w:sz w:val="24"/>
        </w:rPr>
      </w:pPr>
    </w:p>
    <w:p w14:paraId="2378C984" w14:textId="77777777" w:rsidR="00035FB4" w:rsidRPr="00A84DD1" w:rsidRDefault="00035FB4">
      <w:pPr>
        <w:rPr>
          <w:rFonts w:ascii="Arial" w:hAnsi="Arial" w:cs="Arial"/>
          <w:color w:val="000000" w:themeColor="text1"/>
          <w:sz w:val="24"/>
        </w:rPr>
      </w:pPr>
    </w:p>
    <w:p w14:paraId="1ABE54B8" w14:textId="347C867B" w:rsidR="001D2520" w:rsidRDefault="00FD7654" w:rsidP="3D0E7A9F">
      <w:pPr>
        <w:spacing w:line="276" w:lineRule="auto"/>
        <w:jc w:val="both"/>
        <w:rPr>
          <w:rFonts w:asciiTheme="minorHAnsi" w:hAnsiTheme="minorHAnsi" w:cstheme="minorBidi"/>
          <w:color w:val="000000" w:themeColor="text1"/>
          <w:sz w:val="22"/>
          <w:szCs w:val="22"/>
        </w:rPr>
      </w:pPr>
      <w:r w:rsidRPr="00A84DD1">
        <w:rPr>
          <w:rFonts w:asciiTheme="minorHAnsi" w:hAnsiTheme="minorHAnsi" w:cstheme="minorBidi"/>
          <w:color w:val="000000" w:themeColor="text1"/>
          <w:sz w:val="22"/>
          <w:szCs w:val="22"/>
        </w:rPr>
        <w:t xml:space="preserve">Sent </w:t>
      </w:r>
      <w:r w:rsidR="007F3183" w:rsidRPr="00A84DD1">
        <w:rPr>
          <w:rFonts w:asciiTheme="minorHAnsi" w:hAnsiTheme="minorHAnsi" w:cstheme="minorBidi"/>
          <w:color w:val="000000" w:themeColor="text1"/>
          <w:sz w:val="22"/>
          <w:szCs w:val="22"/>
        </w:rPr>
        <w:t>by EMAIL</w:t>
      </w:r>
      <w:r w:rsidR="008E55D4" w:rsidRPr="00A84DD1">
        <w:rPr>
          <w:rFonts w:asciiTheme="minorHAnsi" w:hAnsiTheme="minorHAnsi" w:cstheme="minorBidi"/>
          <w:color w:val="000000" w:themeColor="text1"/>
          <w:sz w:val="22"/>
          <w:szCs w:val="22"/>
        </w:rPr>
        <w:t xml:space="preserve"> ONLY</w:t>
      </w:r>
      <w:r w:rsidR="007F3183" w:rsidRPr="00A84DD1">
        <w:rPr>
          <w:rFonts w:asciiTheme="minorHAnsi" w:hAnsiTheme="minorHAnsi" w:cstheme="minorBidi"/>
          <w:color w:val="000000" w:themeColor="text1"/>
          <w:sz w:val="22"/>
          <w:szCs w:val="22"/>
        </w:rPr>
        <w:t xml:space="preserve"> </w:t>
      </w:r>
      <w:r w:rsidR="003B634B">
        <w:rPr>
          <w:rFonts w:asciiTheme="minorHAnsi" w:hAnsiTheme="minorHAnsi" w:cstheme="minorBidi"/>
          <w:color w:val="000000" w:themeColor="text1"/>
          <w:sz w:val="22"/>
          <w:szCs w:val="22"/>
        </w:rPr>
        <w:t>to</w:t>
      </w:r>
      <w:r w:rsidR="00B51ED8" w:rsidRPr="00B51ED8">
        <w:t xml:space="preserve"> </w:t>
      </w:r>
      <w:r w:rsidR="00B51ED8" w:rsidRPr="00B51ED8">
        <w:rPr>
          <w:rFonts w:asciiTheme="minorHAnsi" w:hAnsiTheme="minorHAnsi" w:cstheme="minorBidi"/>
          <w:color w:val="000000" w:themeColor="text1"/>
          <w:sz w:val="22"/>
          <w:szCs w:val="22"/>
        </w:rPr>
        <w:t>Sandwell_LocalPlan@sandwell.gov.uk</w:t>
      </w:r>
    </w:p>
    <w:p w14:paraId="12EA225E" w14:textId="77777777" w:rsidR="001D2520" w:rsidRPr="00A84DD1" w:rsidRDefault="001D2520" w:rsidP="3D0E7A9F">
      <w:pPr>
        <w:spacing w:line="276" w:lineRule="auto"/>
        <w:jc w:val="both"/>
        <w:rPr>
          <w:rFonts w:asciiTheme="minorHAnsi" w:hAnsiTheme="minorHAnsi" w:cstheme="minorBidi"/>
          <w:color w:val="000000" w:themeColor="text1"/>
          <w:sz w:val="22"/>
          <w:szCs w:val="22"/>
        </w:rPr>
      </w:pPr>
    </w:p>
    <w:p w14:paraId="4339173B" w14:textId="77777777" w:rsidR="00A84DD1" w:rsidRDefault="00A84DD1" w:rsidP="00FD7654">
      <w:pPr>
        <w:spacing w:line="276" w:lineRule="auto"/>
        <w:jc w:val="both"/>
        <w:rPr>
          <w:rFonts w:asciiTheme="minorHAnsi" w:hAnsiTheme="minorHAnsi" w:cstheme="minorHAnsi"/>
          <w:bCs/>
          <w:sz w:val="22"/>
          <w:szCs w:val="22"/>
        </w:rPr>
      </w:pPr>
    </w:p>
    <w:p w14:paraId="56BDD7FF" w14:textId="77777777" w:rsidR="003E052D" w:rsidRDefault="003E052D" w:rsidP="00FD7654">
      <w:pPr>
        <w:spacing w:line="276" w:lineRule="auto"/>
        <w:jc w:val="both"/>
        <w:rPr>
          <w:rFonts w:asciiTheme="minorHAnsi" w:hAnsiTheme="minorHAnsi" w:cstheme="minorHAnsi"/>
          <w:bCs/>
          <w:sz w:val="22"/>
          <w:szCs w:val="22"/>
        </w:rPr>
      </w:pPr>
    </w:p>
    <w:p w14:paraId="40C88B78" w14:textId="77777777" w:rsidR="003E052D" w:rsidRPr="00FD7654" w:rsidRDefault="003E052D" w:rsidP="00FD7654">
      <w:pPr>
        <w:spacing w:line="276" w:lineRule="auto"/>
        <w:jc w:val="both"/>
        <w:rPr>
          <w:rFonts w:asciiTheme="minorHAnsi" w:hAnsiTheme="minorHAnsi" w:cstheme="minorHAnsi"/>
          <w:bCs/>
          <w:sz w:val="22"/>
          <w:szCs w:val="22"/>
        </w:rPr>
      </w:pPr>
    </w:p>
    <w:p w14:paraId="7B1544C3" w14:textId="331D36B2" w:rsidR="00FD7654" w:rsidRPr="00FD7654" w:rsidRDefault="00FD7654" w:rsidP="00FD7654">
      <w:pPr>
        <w:spacing w:line="276" w:lineRule="auto"/>
        <w:jc w:val="both"/>
        <w:rPr>
          <w:rFonts w:asciiTheme="minorHAnsi" w:hAnsiTheme="minorHAnsi" w:cstheme="minorHAnsi"/>
          <w:bCs/>
          <w:sz w:val="22"/>
          <w:szCs w:val="22"/>
        </w:rPr>
      </w:pPr>
      <w:r w:rsidRPr="00FD7654">
        <w:rPr>
          <w:rFonts w:asciiTheme="minorHAnsi" w:hAnsiTheme="minorHAnsi" w:cstheme="minorHAnsi"/>
          <w:bCs/>
          <w:sz w:val="22"/>
          <w:szCs w:val="22"/>
        </w:rPr>
        <w:tab/>
        <w:t xml:space="preserve"> </w:t>
      </w:r>
      <w:r w:rsidRPr="00FD7654">
        <w:rPr>
          <w:rFonts w:asciiTheme="minorHAnsi" w:hAnsiTheme="minorHAnsi" w:cstheme="minorHAnsi"/>
          <w:bCs/>
          <w:sz w:val="22"/>
          <w:szCs w:val="22"/>
        </w:rPr>
        <w:tab/>
      </w:r>
      <w:r w:rsidRPr="00FD7654">
        <w:rPr>
          <w:rFonts w:asciiTheme="minorHAnsi" w:hAnsiTheme="minorHAnsi" w:cstheme="minorHAnsi"/>
          <w:bCs/>
          <w:sz w:val="22"/>
          <w:szCs w:val="22"/>
        </w:rPr>
        <w:tab/>
      </w:r>
      <w:r w:rsidRPr="00FD7654">
        <w:rPr>
          <w:rFonts w:asciiTheme="minorHAnsi" w:hAnsiTheme="minorHAnsi" w:cstheme="minorHAnsi"/>
          <w:bCs/>
          <w:sz w:val="22"/>
          <w:szCs w:val="22"/>
        </w:rPr>
        <w:tab/>
      </w:r>
      <w:r w:rsidRPr="00FD7654">
        <w:rPr>
          <w:rFonts w:asciiTheme="minorHAnsi" w:hAnsiTheme="minorHAnsi" w:cstheme="minorHAnsi"/>
          <w:bCs/>
          <w:sz w:val="22"/>
          <w:szCs w:val="22"/>
        </w:rPr>
        <w:tab/>
      </w:r>
      <w:r w:rsidRPr="00FD7654">
        <w:rPr>
          <w:rFonts w:asciiTheme="minorHAnsi" w:hAnsiTheme="minorHAnsi" w:cstheme="minorHAnsi"/>
          <w:bCs/>
          <w:sz w:val="22"/>
          <w:szCs w:val="22"/>
        </w:rPr>
        <w:tab/>
      </w:r>
      <w:r w:rsidRPr="00FD7654">
        <w:rPr>
          <w:rFonts w:asciiTheme="minorHAnsi" w:hAnsiTheme="minorHAnsi" w:cstheme="minorHAnsi"/>
          <w:bCs/>
          <w:sz w:val="22"/>
          <w:szCs w:val="22"/>
        </w:rPr>
        <w:tab/>
      </w:r>
      <w:r w:rsidRPr="00FD7654">
        <w:rPr>
          <w:rFonts w:asciiTheme="minorHAnsi" w:hAnsiTheme="minorHAnsi" w:cstheme="minorHAnsi"/>
          <w:bCs/>
          <w:sz w:val="22"/>
          <w:szCs w:val="22"/>
        </w:rPr>
        <w:tab/>
      </w:r>
      <w:r w:rsidRPr="00FD7654">
        <w:rPr>
          <w:rFonts w:asciiTheme="minorHAnsi" w:hAnsiTheme="minorHAnsi" w:cstheme="minorHAnsi"/>
          <w:bCs/>
          <w:sz w:val="22"/>
          <w:szCs w:val="22"/>
        </w:rPr>
        <w:tab/>
      </w:r>
      <w:r w:rsidR="00B16CA5">
        <w:rPr>
          <w:rFonts w:asciiTheme="minorHAnsi" w:hAnsiTheme="minorHAnsi" w:cstheme="minorHAnsi"/>
          <w:bCs/>
          <w:sz w:val="22"/>
          <w:szCs w:val="22"/>
        </w:rPr>
        <w:t>11</w:t>
      </w:r>
      <w:r w:rsidR="00942172">
        <w:rPr>
          <w:rFonts w:asciiTheme="minorHAnsi" w:hAnsiTheme="minorHAnsi" w:cstheme="minorHAnsi"/>
          <w:bCs/>
          <w:sz w:val="22"/>
          <w:szCs w:val="22"/>
        </w:rPr>
        <w:t>/</w:t>
      </w:r>
      <w:r w:rsidR="00D16978">
        <w:rPr>
          <w:rFonts w:asciiTheme="minorHAnsi" w:hAnsiTheme="minorHAnsi" w:cstheme="minorHAnsi"/>
          <w:bCs/>
          <w:sz w:val="22"/>
          <w:szCs w:val="22"/>
        </w:rPr>
        <w:t>1</w:t>
      </w:r>
      <w:r w:rsidR="00B16CA5">
        <w:rPr>
          <w:rFonts w:asciiTheme="minorHAnsi" w:hAnsiTheme="minorHAnsi" w:cstheme="minorHAnsi"/>
          <w:bCs/>
          <w:sz w:val="22"/>
          <w:szCs w:val="22"/>
        </w:rPr>
        <w:t>1</w:t>
      </w:r>
      <w:r w:rsidR="00942172">
        <w:rPr>
          <w:rFonts w:asciiTheme="minorHAnsi" w:hAnsiTheme="minorHAnsi" w:cstheme="minorHAnsi"/>
          <w:bCs/>
          <w:sz w:val="22"/>
          <w:szCs w:val="22"/>
        </w:rPr>
        <w:t>/20</w:t>
      </w:r>
      <w:r w:rsidR="007A37EC">
        <w:rPr>
          <w:rFonts w:asciiTheme="minorHAnsi" w:hAnsiTheme="minorHAnsi" w:cstheme="minorHAnsi"/>
          <w:bCs/>
          <w:sz w:val="22"/>
          <w:szCs w:val="22"/>
        </w:rPr>
        <w:t>2</w:t>
      </w:r>
      <w:r w:rsidR="00C83AD5">
        <w:rPr>
          <w:rFonts w:asciiTheme="minorHAnsi" w:hAnsiTheme="minorHAnsi" w:cstheme="minorHAnsi"/>
          <w:bCs/>
          <w:sz w:val="22"/>
          <w:szCs w:val="22"/>
        </w:rPr>
        <w:t>4</w:t>
      </w:r>
    </w:p>
    <w:p w14:paraId="79FBF488" w14:textId="77777777" w:rsidR="00FD7654" w:rsidRPr="00FD7654" w:rsidRDefault="00FD7654" w:rsidP="00FD7654">
      <w:pPr>
        <w:spacing w:line="276" w:lineRule="auto"/>
        <w:jc w:val="both"/>
        <w:rPr>
          <w:rFonts w:asciiTheme="minorHAnsi" w:hAnsiTheme="minorHAnsi" w:cstheme="minorHAnsi"/>
          <w:bCs/>
          <w:sz w:val="22"/>
          <w:szCs w:val="22"/>
        </w:rPr>
      </w:pPr>
    </w:p>
    <w:p w14:paraId="51E103CF" w14:textId="77777777" w:rsidR="00FD7654" w:rsidRPr="00FD7654" w:rsidRDefault="00FD7654" w:rsidP="00FD7654">
      <w:pPr>
        <w:spacing w:line="276" w:lineRule="auto"/>
        <w:jc w:val="both"/>
        <w:rPr>
          <w:rFonts w:asciiTheme="minorHAnsi" w:hAnsiTheme="minorHAnsi" w:cstheme="minorHAnsi"/>
          <w:bCs/>
          <w:sz w:val="22"/>
          <w:szCs w:val="22"/>
        </w:rPr>
      </w:pPr>
    </w:p>
    <w:p w14:paraId="730FB430" w14:textId="77777777" w:rsidR="001B2097" w:rsidRDefault="00FD7654" w:rsidP="00E44E59">
      <w:pPr>
        <w:spacing w:line="276" w:lineRule="auto"/>
        <w:jc w:val="both"/>
        <w:rPr>
          <w:rFonts w:asciiTheme="minorHAnsi" w:hAnsiTheme="minorHAnsi" w:cstheme="minorHAnsi"/>
          <w:b/>
          <w:bCs/>
          <w:sz w:val="22"/>
          <w:szCs w:val="22"/>
        </w:rPr>
      </w:pPr>
      <w:r w:rsidRPr="00FD7654">
        <w:rPr>
          <w:rFonts w:asciiTheme="minorHAnsi" w:hAnsiTheme="minorHAnsi" w:cstheme="minorHAnsi"/>
          <w:bCs/>
          <w:sz w:val="22"/>
          <w:szCs w:val="22"/>
        </w:rPr>
        <w:t xml:space="preserve">Dear </w:t>
      </w:r>
      <w:r w:rsidR="006E0C3D">
        <w:rPr>
          <w:rFonts w:asciiTheme="minorHAnsi" w:hAnsiTheme="minorHAnsi" w:cstheme="minorHAnsi"/>
          <w:bCs/>
          <w:sz w:val="22"/>
          <w:szCs w:val="22"/>
        </w:rPr>
        <w:t>Sir/ Mada</w:t>
      </w:r>
      <w:r w:rsidR="001B2097">
        <w:rPr>
          <w:rFonts w:asciiTheme="minorHAnsi" w:hAnsiTheme="minorHAnsi" w:cstheme="minorHAnsi"/>
          <w:bCs/>
          <w:sz w:val="22"/>
          <w:szCs w:val="22"/>
        </w:rPr>
        <w:t>m</w:t>
      </w:r>
      <w:r w:rsidR="001B2097" w:rsidRPr="001B2097">
        <w:rPr>
          <w:rFonts w:asciiTheme="minorHAnsi" w:hAnsiTheme="minorHAnsi" w:cstheme="minorHAnsi"/>
          <w:b/>
          <w:bCs/>
          <w:sz w:val="22"/>
          <w:szCs w:val="22"/>
        </w:rPr>
        <w:t xml:space="preserve"> </w:t>
      </w:r>
    </w:p>
    <w:p w14:paraId="2A67186F" w14:textId="77777777" w:rsidR="001B2097" w:rsidRDefault="001B2097" w:rsidP="00E44E59">
      <w:pPr>
        <w:spacing w:line="276" w:lineRule="auto"/>
        <w:jc w:val="both"/>
        <w:rPr>
          <w:rFonts w:asciiTheme="minorHAnsi" w:hAnsiTheme="minorHAnsi" w:cstheme="minorHAnsi"/>
          <w:b/>
          <w:bCs/>
          <w:sz w:val="22"/>
          <w:szCs w:val="22"/>
        </w:rPr>
      </w:pPr>
    </w:p>
    <w:p w14:paraId="3085DAE0" w14:textId="473FA316" w:rsidR="001B2097" w:rsidRDefault="001B2097" w:rsidP="00E44E59">
      <w:pPr>
        <w:spacing w:line="276" w:lineRule="auto"/>
        <w:jc w:val="both"/>
        <w:rPr>
          <w:rFonts w:asciiTheme="minorHAnsi" w:hAnsiTheme="minorHAnsi" w:cstheme="minorHAnsi"/>
          <w:b/>
          <w:bCs/>
          <w:sz w:val="22"/>
          <w:szCs w:val="22"/>
        </w:rPr>
      </w:pPr>
      <w:r w:rsidRPr="001B2097">
        <w:rPr>
          <w:rFonts w:asciiTheme="minorHAnsi" w:hAnsiTheme="minorHAnsi" w:cstheme="minorHAnsi"/>
          <w:b/>
          <w:bCs/>
          <w:sz w:val="22"/>
          <w:szCs w:val="22"/>
        </w:rPr>
        <w:t xml:space="preserve">Response by the Home Builders </w:t>
      </w:r>
      <w:r w:rsidRPr="00474E5F">
        <w:rPr>
          <w:rFonts w:asciiTheme="minorHAnsi" w:hAnsiTheme="minorHAnsi" w:cstheme="minorHAnsi"/>
          <w:b/>
          <w:bCs/>
          <w:sz w:val="22"/>
          <w:szCs w:val="22"/>
        </w:rPr>
        <w:t xml:space="preserve">Federation to the </w:t>
      </w:r>
      <w:r w:rsidR="00B16CA5">
        <w:rPr>
          <w:rFonts w:asciiTheme="minorHAnsi" w:hAnsiTheme="minorHAnsi" w:cstheme="minorHAnsi"/>
          <w:b/>
          <w:bCs/>
          <w:sz w:val="22"/>
          <w:szCs w:val="22"/>
        </w:rPr>
        <w:t xml:space="preserve">Sandwell </w:t>
      </w:r>
      <w:r w:rsidR="00933279">
        <w:rPr>
          <w:rFonts w:asciiTheme="minorHAnsi" w:hAnsiTheme="minorHAnsi" w:cstheme="minorHAnsi"/>
          <w:b/>
          <w:bCs/>
          <w:sz w:val="22"/>
          <w:szCs w:val="22"/>
        </w:rPr>
        <w:t xml:space="preserve">Reg </w:t>
      </w:r>
      <w:r w:rsidR="00544E12">
        <w:rPr>
          <w:rFonts w:asciiTheme="minorHAnsi" w:hAnsiTheme="minorHAnsi" w:cstheme="minorHAnsi"/>
          <w:b/>
          <w:bCs/>
          <w:sz w:val="22"/>
          <w:szCs w:val="22"/>
        </w:rPr>
        <w:t>19 Lo</w:t>
      </w:r>
      <w:r w:rsidR="000B7183" w:rsidRPr="00474E5F">
        <w:rPr>
          <w:rFonts w:asciiTheme="minorHAnsi" w:hAnsiTheme="minorHAnsi" w:cstheme="minorHAnsi"/>
          <w:b/>
          <w:bCs/>
          <w:sz w:val="22"/>
          <w:szCs w:val="22"/>
        </w:rPr>
        <w:t xml:space="preserve">cal Plan </w:t>
      </w:r>
      <w:r w:rsidR="00661A45" w:rsidRPr="00474E5F">
        <w:rPr>
          <w:rFonts w:asciiTheme="minorHAnsi" w:hAnsiTheme="minorHAnsi" w:cstheme="minorHAnsi"/>
          <w:b/>
          <w:bCs/>
          <w:sz w:val="22"/>
          <w:szCs w:val="22"/>
        </w:rPr>
        <w:t>consultation</w:t>
      </w:r>
      <w:r w:rsidR="00A534D7">
        <w:rPr>
          <w:rFonts w:asciiTheme="minorHAnsi" w:hAnsiTheme="minorHAnsi" w:cstheme="minorHAnsi"/>
          <w:b/>
          <w:bCs/>
          <w:sz w:val="22"/>
          <w:szCs w:val="22"/>
        </w:rPr>
        <w:t xml:space="preserve">, </w:t>
      </w:r>
      <w:r w:rsidR="00094316">
        <w:rPr>
          <w:rFonts w:asciiTheme="minorHAnsi" w:hAnsiTheme="minorHAnsi" w:cstheme="minorHAnsi"/>
          <w:b/>
          <w:bCs/>
          <w:sz w:val="22"/>
          <w:szCs w:val="22"/>
        </w:rPr>
        <w:t>October</w:t>
      </w:r>
      <w:r w:rsidR="00544E12">
        <w:rPr>
          <w:rFonts w:asciiTheme="minorHAnsi" w:hAnsiTheme="minorHAnsi" w:cstheme="minorHAnsi"/>
          <w:b/>
          <w:bCs/>
          <w:sz w:val="22"/>
          <w:szCs w:val="22"/>
        </w:rPr>
        <w:t xml:space="preserve"> </w:t>
      </w:r>
      <w:r w:rsidR="00A534D7">
        <w:rPr>
          <w:rFonts w:asciiTheme="minorHAnsi" w:hAnsiTheme="minorHAnsi" w:cstheme="minorHAnsi"/>
          <w:b/>
          <w:bCs/>
          <w:sz w:val="22"/>
          <w:szCs w:val="22"/>
        </w:rPr>
        <w:t>2024</w:t>
      </w:r>
    </w:p>
    <w:p w14:paraId="224605FA" w14:textId="77777777" w:rsidR="00661A45" w:rsidRDefault="00661A45" w:rsidP="00E44E59">
      <w:pPr>
        <w:spacing w:line="276" w:lineRule="auto"/>
        <w:jc w:val="both"/>
        <w:rPr>
          <w:rFonts w:asciiTheme="minorHAnsi" w:hAnsiTheme="minorHAnsi" w:cstheme="minorHAnsi"/>
          <w:bCs/>
          <w:sz w:val="22"/>
          <w:szCs w:val="22"/>
        </w:rPr>
      </w:pPr>
    </w:p>
    <w:p w14:paraId="6EA614DC" w14:textId="4180CBB1" w:rsidR="00A534D7" w:rsidRPr="00A534D7" w:rsidRDefault="5D03D455" w:rsidP="1D88003A">
      <w:pPr>
        <w:pStyle w:val="ListParagraph"/>
        <w:numPr>
          <w:ilvl w:val="0"/>
          <w:numId w:val="8"/>
        </w:numPr>
        <w:spacing w:line="276" w:lineRule="auto"/>
        <w:rPr>
          <w:rFonts w:ascii="Arial" w:hAnsi="Arial" w:cs="Arial"/>
        </w:rPr>
      </w:pPr>
      <w:r w:rsidRPr="00A534D7">
        <w:t xml:space="preserve">Please find below the Home Builders Federation (HBF) response to the </w:t>
      </w:r>
      <w:r w:rsidR="00933279">
        <w:t>Sandwell R</w:t>
      </w:r>
      <w:r w:rsidR="00544E12" w:rsidRPr="00544E12">
        <w:rPr>
          <w:rFonts w:cstheme="minorHAnsi"/>
        </w:rPr>
        <w:t xml:space="preserve">eg 19 Local Plan consultation, </w:t>
      </w:r>
      <w:r w:rsidR="00933279">
        <w:rPr>
          <w:rFonts w:cstheme="minorHAnsi"/>
        </w:rPr>
        <w:t xml:space="preserve">November </w:t>
      </w:r>
      <w:r w:rsidR="00544E12" w:rsidRPr="00544E12">
        <w:rPr>
          <w:rFonts w:cstheme="minorHAnsi"/>
        </w:rPr>
        <w:t>2024</w:t>
      </w:r>
      <w:r w:rsidR="00544E12">
        <w:rPr>
          <w:rFonts w:cstheme="minorHAnsi"/>
        </w:rPr>
        <w:t>.</w:t>
      </w:r>
      <w:r w:rsidR="009A591B">
        <w:rPr>
          <w:rFonts w:cstheme="minorHAnsi"/>
        </w:rPr>
        <w:t xml:space="preserve">  We have noted the contents of the Reg 19 documentation including the errata</w:t>
      </w:r>
      <w:r w:rsidR="00B82815">
        <w:rPr>
          <w:rFonts w:cstheme="minorHAnsi"/>
        </w:rPr>
        <w:t xml:space="preserve"> </w:t>
      </w:r>
      <w:r w:rsidR="00B51ED8">
        <w:rPr>
          <w:rFonts w:cstheme="minorHAnsi"/>
        </w:rPr>
        <w:t xml:space="preserve">report </w:t>
      </w:r>
      <w:r w:rsidR="00B82815">
        <w:rPr>
          <w:rFonts w:cstheme="minorHAnsi"/>
        </w:rPr>
        <w:t>that has be</w:t>
      </w:r>
      <w:r w:rsidR="00990AB2">
        <w:rPr>
          <w:rFonts w:cstheme="minorHAnsi"/>
        </w:rPr>
        <w:t>en</w:t>
      </w:r>
      <w:r w:rsidR="00B82815">
        <w:rPr>
          <w:rFonts w:cstheme="minorHAnsi"/>
        </w:rPr>
        <w:t xml:space="preserve"> published.</w:t>
      </w:r>
    </w:p>
    <w:p w14:paraId="36F506FE" w14:textId="77777777" w:rsidR="00A534D7" w:rsidRPr="00A534D7" w:rsidRDefault="00A534D7" w:rsidP="00A534D7">
      <w:pPr>
        <w:pStyle w:val="ListParagraph"/>
        <w:spacing w:line="276" w:lineRule="auto"/>
        <w:rPr>
          <w:rFonts w:ascii="Arial" w:hAnsi="Arial" w:cs="Arial"/>
        </w:rPr>
      </w:pPr>
    </w:p>
    <w:p w14:paraId="66550E89" w14:textId="747B3D8C" w:rsidR="00373ECC" w:rsidRPr="00373ECC" w:rsidRDefault="5D03D455" w:rsidP="1D88003A">
      <w:pPr>
        <w:pStyle w:val="ListParagraph"/>
        <w:numPr>
          <w:ilvl w:val="0"/>
          <w:numId w:val="8"/>
        </w:numPr>
        <w:spacing w:line="276" w:lineRule="auto"/>
        <w:rPr>
          <w:rFonts w:ascii="Arial" w:hAnsi="Arial" w:cs="Arial"/>
        </w:rPr>
      </w:pPr>
      <w:r w:rsidRPr="1D88003A">
        <w:t>HBF is the principal representative body of the housebuilding industry in England and Wales and our representations reflect the views of discussions with our membership of national and multinational corporations through to regional developers and small local housebuilders. Our members account for over 80% of all new housing built in England and Wales in any one year.</w:t>
      </w:r>
      <w:r w:rsidR="001920A8">
        <w:t xml:space="preserve">  </w:t>
      </w:r>
    </w:p>
    <w:p w14:paraId="05D31348" w14:textId="77777777" w:rsidR="00373ECC" w:rsidRPr="00373ECC" w:rsidRDefault="00373ECC" w:rsidP="00373ECC">
      <w:pPr>
        <w:pStyle w:val="ListParagraph"/>
        <w:spacing w:line="276" w:lineRule="auto"/>
        <w:rPr>
          <w:rFonts w:ascii="Arial" w:hAnsi="Arial" w:cs="Arial"/>
        </w:rPr>
      </w:pPr>
    </w:p>
    <w:p w14:paraId="0CD2DDAA" w14:textId="681B9940" w:rsidR="001B2097" w:rsidRPr="004F00DD" w:rsidRDefault="001920A8" w:rsidP="1D88003A">
      <w:pPr>
        <w:pStyle w:val="ListParagraph"/>
        <w:numPr>
          <w:ilvl w:val="0"/>
          <w:numId w:val="8"/>
        </w:numPr>
        <w:spacing w:line="276" w:lineRule="auto"/>
        <w:rPr>
          <w:rFonts w:ascii="Arial" w:hAnsi="Arial" w:cs="Arial"/>
        </w:rPr>
      </w:pPr>
      <w:r>
        <w:t>HBF have not commented on every policy only those of relevance to our members.</w:t>
      </w:r>
    </w:p>
    <w:p w14:paraId="06A86FF1" w14:textId="77777777" w:rsidR="004F00DD" w:rsidRPr="004F00DD" w:rsidRDefault="004F00DD" w:rsidP="004F00DD">
      <w:pPr>
        <w:pStyle w:val="ListParagraph"/>
        <w:rPr>
          <w:rFonts w:ascii="Arial" w:hAnsi="Arial" w:cs="Arial"/>
        </w:rPr>
      </w:pPr>
    </w:p>
    <w:p w14:paraId="60A4755D" w14:textId="1D72AC35" w:rsidR="00A879AF" w:rsidRDefault="004F00DD" w:rsidP="00F64023">
      <w:pPr>
        <w:pStyle w:val="ListParagraph"/>
        <w:spacing w:line="276" w:lineRule="auto"/>
        <w:rPr>
          <w:rFonts w:ascii="Arial" w:hAnsi="Arial" w:cs="Arial"/>
          <w:b/>
          <w:bCs/>
        </w:rPr>
      </w:pPr>
      <w:r w:rsidRPr="00767C1E">
        <w:rPr>
          <w:rFonts w:ascii="Arial" w:hAnsi="Arial" w:cs="Arial"/>
          <w:b/>
          <w:bCs/>
        </w:rPr>
        <w:t>Overarching comments</w:t>
      </w:r>
    </w:p>
    <w:p w14:paraId="1FC5E36F" w14:textId="77777777" w:rsidR="00F64023" w:rsidRPr="00F64023" w:rsidRDefault="00F64023" w:rsidP="00F64023">
      <w:pPr>
        <w:pStyle w:val="ListParagraph"/>
        <w:spacing w:line="276" w:lineRule="auto"/>
        <w:rPr>
          <w:rFonts w:ascii="Arial" w:hAnsi="Arial" w:cs="Arial"/>
          <w:b/>
          <w:bCs/>
        </w:rPr>
      </w:pPr>
    </w:p>
    <w:p w14:paraId="1E965CE1" w14:textId="5E82A45A" w:rsidR="00A879AF" w:rsidRDefault="00A879AF" w:rsidP="00A879AF">
      <w:pPr>
        <w:pStyle w:val="ListParagraph"/>
        <w:spacing w:line="276" w:lineRule="auto"/>
        <w:rPr>
          <w:rFonts w:ascii="Arial" w:hAnsi="Arial" w:cs="Arial"/>
          <w:b/>
          <w:bCs/>
        </w:rPr>
      </w:pPr>
      <w:r w:rsidRPr="00A879AF">
        <w:rPr>
          <w:rFonts w:ascii="Arial" w:hAnsi="Arial" w:cs="Arial"/>
          <w:b/>
          <w:bCs/>
        </w:rPr>
        <w:t>Plan Period</w:t>
      </w:r>
    </w:p>
    <w:p w14:paraId="63C90136" w14:textId="77777777" w:rsidR="00A879AF" w:rsidRPr="00A879AF" w:rsidRDefault="00A879AF" w:rsidP="00A879AF">
      <w:pPr>
        <w:pStyle w:val="ListParagraph"/>
        <w:spacing w:line="276" w:lineRule="auto"/>
        <w:rPr>
          <w:rFonts w:ascii="Arial" w:hAnsi="Arial" w:cs="Arial"/>
          <w:b/>
          <w:bCs/>
        </w:rPr>
      </w:pPr>
    </w:p>
    <w:p w14:paraId="662F71E3" w14:textId="2CDB3DD8" w:rsidR="00A879AF" w:rsidRDefault="00A879AF" w:rsidP="00DA6B63">
      <w:pPr>
        <w:pStyle w:val="ListParagraph"/>
        <w:spacing w:line="276" w:lineRule="auto"/>
        <w:rPr>
          <w:rFonts w:ascii="Arial" w:hAnsi="Arial" w:cs="Arial"/>
          <w:i/>
          <w:iCs/>
        </w:rPr>
      </w:pPr>
      <w:r w:rsidRPr="00A879AF">
        <w:rPr>
          <w:rFonts w:ascii="Arial" w:hAnsi="Arial" w:cs="Arial"/>
          <w:i/>
          <w:iCs/>
        </w:rPr>
        <w:t>The P</w:t>
      </w:r>
      <w:r w:rsidR="003311AF">
        <w:rPr>
          <w:rFonts w:ascii="Arial" w:hAnsi="Arial" w:cs="Arial"/>
          <w:i/>
          <w:iCs/>
        </w:rPr>
        <w:t>lan</w:t>
      </w:r>
      <w:r w:rsidRPr="00A879AF">
        <w:rPr>
          <w:rFonts w:ascii="Arial" w:hAnsi="Arial" w:cs="Arial"/>
          <w:i/>
          <w:iCs/>
        </w:rPr>
        <w:t xml:space="preserve"> is not considered to be sound as it is not justified or effective or in line with national policy.</w:t>
      </w:r>
    </w:p>
    <w:p w14:paraId="15A16FD4" w14:textId="77777777" w:rsidR="003968E6" w:rsidRPr="00DA6B63" w:rsidRDefault="003968E6" w:rsidP="00DA6B63">
      <w:pPr>
        <w:pStyle w:val="ListParagraph"/>
        <w:spacing w:line="276" w:lineRule="auto"/>
        <w:rPr>
          <w:rFonts w:ascii="Arial" w:hAnsi="Arial" w:cs="Arial"/>
        </w:rPr>
      </w:pPr>
    </w:p>
    <w:p w14:paraId="30879E92" w14:textId="39D24880" w:rsidR="00EF4317" w:rsidRDefault="00EF4317" w:rsidP="00EF4317">
      <w:pPr>
        <w:pStyle w:val="ListParagraph"/>
        <w:numPr>
          <w:ilvl w:val="0"/>
          <w:numId w:val="8"/>
        </w:numPr>
        <w:rPr>
          <w:rFonts w:ascii="Arial" w:hAnsi="Arial" w:cs="Arial"/>
        </w:rPr>
      </w:pPr>
      <w:r w:rsidRPr="008F394F">
        <w:rPr>
          <w:rFonts w:ascii="Arial" w:hAnsi="Arial" w:cs="Arial"/>
        </w:rPr>
        <w:t xml:space="preserve">HBF welcomes the Council’s efforts to ensure that they have an up to Local Plan.  Plan-making is a fundamental part of a Local Authority’s role and is essential to support the delivery new homes and jobs.  HBF agree that there are many factors that support the need for a new Local Plan for </w:t>
      </w:r>
      <w:r w:rsidR="00667B05">
        <w:rPr>
          <w:rFonts w:ascii="Arial" w:hAnsi="Arial" w:cs="Arial"/>
        </w:rPr>
        <w:t>Sandwell</w:t>
      </w:r>
      <w:r w:rsidRPr="008F394F">
        <w:rPr>
          <w:rFonts w:ascii="Arial" w:hAnsi="Arial" w:cs="Arial"/>
        </w:rPr>
        <w:t>.  H</w:t>
      </w:r>
      <w:r w:rsidR="00FE7146">
        <w:rPr>
          <w:rFonts w:ascii="Arial" w:hAnsi="Arial" w:cs="Arial"/>
        </w:rPr>
        <w:t>owever, HB</w:t>
      </w:r>
      <w:r w:rsidRPr="008F394F">
        <w:rPr>
          <w:rFonts w:ascii="Arial" w:hAnsi="Arial" w:cs="Arial"/>
        </w:rPr>
        <w:t xml:space="preserve">F note that the Plan Period runs </w:t>
      </w:r>
      <w:r>
        <w:rPr>
          <w:rFonts w:ascii="Arial" w:hAnsi="Arial" w:cs="Arial"/>
        </w:rPr>
        <w:t>only to 20</w:t>
      </w:r>
      <w:r w:rsidR="00094316">
        <w:rPr>
          <w:rFonts w:ascii="Arial" w:hAnsi="Arial" w:cs="Arial"/>
        </w:rPr>
        <w:t>4</w:t>
      </w:r>
      <w:r w:rsidR="00667B05">
        <w:rPr>
          <w:rFonts w:ascii="Arial" w:hAnsi="Arial" w:cs="Arial"/>
        </w:rPr>
        <w:t>1</w:t>
      </w:r>
      <w:r w:rsidRPr="008F394F">
        <w:rPr>
          <w:rFonts w:ascii="Arial" w:hAnsi="Arial" w:cs="Arial"/>
        </w:rPr>
        <w:t xml:space="preserve">.  Para 22 of the NPPF requires that ‘strategic policies should look ahead over a minimum 15-year period from adoption’.  </w:t>
      </w:r>
    </w:p>
    <w:p w14:paraId="7A1E5FDD" w14:textId="77777777" w:rsidR="00EF4317" w:rsidRDefault="00EF4317" w:rsidP="00EF4317">
      <w:pPr>
        <w:pStyle w:val="ListParagraph"/>
        <w:rPr>
          <w:rFonts w:ascii="Arial" w:hAnsi="Arial" w:cs="Arial"/>
        </w:rPr>
      </w:pPr>
    </w:p>
    <w:p w14:paraId="60E851CB" w14:textId="75A56A30" w:rsidR="00297506" w:rsidRDefault="00297506" w:rsidP="00297506">
      <w:pPr>
        <w:pStyle w:val="ListParagraph"/>
        <w:numPr>
          <w:ilvl w:val="0"/>
          <w:numId w:val="8"/>
        </w:numPr>
        <w:rPr>
          <w:rFonts w:ascii="Arial" w:hAnsi="Arial" w:cs="Arial"/>
        </w:rPr>
      </w:pPr>
      <w:r>
        <w:rPr>
          <w:rFonts w:ascii="Arial" w:hAnsi="Arial" w:cs="Arial"/>
        </w:rPr>
        <w:t>Although w</w:t>
      </w:r>
      <w:r w:rsidRPr="008F394F">
        <w:rPr>
          <w:rFonts w:ascii="Arial" w:hAnsi="Arial" w:cs="Arial"/>
        </w:rPr>
        <w:t>e note that the Plan is now at Reg 19 submission stage</w:t>
      </w:r>
      <w:r>
        <w:rPr>
          <w:rFonts w:ascii="Arial" w:hAnsi="Arial" w:cs="Arial"/>
        </w:rPr>
        <w:t xml:space="preserve">, it can and does take time to proceed through the remaining stages of plan preparation- </w:t>
      </w:r>
      <w:r>
        <w:rPr>
          <w:rFonts w:ascii="Arial" w:hAnsi="Arial" w:cs="Arial"/>
        </w:rPr>
        <w:lastRenderedPageBreak/>
        <w:t xml:space="preserve">the examination process, main modification consultation, Inspector’s </w:t>
      </w:r>
      <w:proofErr w:type="gramStart"/>
      <w:r>
        <w:rPr>
          <w:rFonts w:ascii="Arial" w:hAnsi="Arial" w:cs="Arial"/>
        </w:rPr>
        <w:t>report</w:t>
      </w:r>
      <w:proofErr w:type="gramEnd"/>
      <w:r>
        <w:rPr>
          <w:rFonts w:ascii="Arial" w:hAnsi="Arial" w:cs="Arial"/>
        </w:rPr>
        <w:t xml:space="preserve"> and adoption of the Local Plan. </w:t>
      </w:r>
      <w:r w:rsidRPr="008F394F">
        <w:rPr>
          <w:rFonts w:ascii="Arial" w:hAnsi="Arial" w:cs="Arial"/>
        </w:rPr>
        <w:t xml:space="preserve">HBF </w:t>
      </w:r>
      <w:r>
        <w:rPr>
          <w:rFonts w:ascii="Arial" w:hAnsi="Arial" w:cs="Arial"/>
        </w:rPr>
        <w:t xml:space="preserve">therefore </w:t>
      </w:r>
      <w:r w:rsidRPr="008F394F">
        <w:rPr>
          <w:rFonts w:ascii="Arial" w:hAnsi="Arial" w:cs="Arial"/>
        </w:rPr>
        <w:t>question whether the plan period need extending.  Extending the plan period by one or two years and rolling forward the housing requirement to these future years would seem a reasonable approach to address this issue.</w:t>
      </w:r>
      <w:r w:rsidR="0033053F">
        <w:rPr>
          <w:rFonts w:ascii="Arial" w:hAnsi="Arial" w:cs="Arial"/>
        </w:rPr>
        <w:t xml:space="preserve">  The supporting evidence would probably need to reflect this longer timeframe too.</w:t>
      </w:r>
    </w:p>
    <w:p w14:paraId="45BFBA79" w14:textId="77777777" w:rsidR="00297506" w:rsidRPr="00297506" w:rsidRDefault="00297506" w:rsidP="00297506">
      <w:pPr>
        <w:pStyle w:val="ListParagraph"/>
        <w:rPr>
          <w:rFonts w:ascii="Arial" w:hAnsi="Arial" w:cs="Arial"/>
        </w:rPr>
      </w:pPr>
    </w:p>
    <w:p w14:paraId="00662BB0" w14:textId="4320FE35" w:rsidR="00022172" w:rsidRDefault="00335133" w:rsidP="1D88003A">
      <w:pPr>
        <w:pStyle w:val="ListParagraph"/>
        <w:numPr>
          <w:ilvl w:val="0"/>
          <w:numId w:val="8"/>
        </w:numPr>
        <w:spacing w:line="276" w:lineRule="auto"/>
        <w:rPr>
          <w:rFonts w:ascii="Arial" w:hAnsi="Arial" w:cs="Arial"/>
        </w:rPr>
      </w:pPr>
      <w:r>
        <w:rPr>
          <w:rFonts w:ascii="Arial" w:hAnsi="Arial" w:cs="Arial"/>
        </w:rPr>
        <w:t>HBF suggest that f</w:t>
      </w:r>
      <w:r w:rsidR="00F46E0E">
        <w:rPr>
          <w:rFonts w:ascii="Arial" w:hAnsi="Arial" w:cs="Arial"/>
        </w:rPr>
        <w:t>or this plan to be sound, t</w:t>
      </w:r>
      <w:r w:rsidR="00022172">
        <w:rPr>
          <w:rFonts w:ascii="Arial" w:hAnsi="Arial" w:cs="Arial"/>
        </w:rPr>
        <w:t xml:space="preserve">he plan period needs </w:t>
      </w:r>
      <w:r w:rsidR="00DA6B63">
        <w:rPr>
          <w:rFonts w:ascii="Arial" w:hAnsi="Arial" w:cs="Arial"/>
        </w:rPr>
        <w:t>extending</w:t>
      </w:r>
      <w:r w:rsidR="00F46E0E">
        <w:rPr>
          <w:rFonts w:ascii="Arial" w:hAnsi="Arial" w:cs="Arial"/>
        </w:rPr>
        <w:t xml:space="preserve">.  A </w:t>
      </w:r>
      <w:r w:rsidR="008A3AB8" w:rsidRPr="008A3AB8">
        <w:rPr>
          <w:rFonts w:ascii="Arial" w:hAnsi="Arial" w:cs="Arial"/>
        </w:rPr>
        <w:t xml:space="preserve">plan period of less than 15 years on adoption </w:t>
      </w:r>
      <w:r w:rsidR="008A3AB8">
        <w:rPr>
          <w:rFonts w:ascii="Arial" w:hAnsi="Arial" w:cs="Arial"/>
        </w:rPr>
        <w:t xml:space="preserve">fails to </w:t>
      </w:r>
      <w:r w:rsidR="008A3AB8" w:rsidRPr="008A3AB8">
        <w:rPr>
          <w:rFonts w:ascii="Arial" w:hAnsi="Arial" w:cs="Arial"/>
        </w:rPr>
        <w:t>compl</w:t>
      </w:r>
      <w:r w:rsidR="008A3AB8">
        <w:rPr>
          <w:rFonts w:ascii="Arial" w:hAnsi="Arial" w:cs="Arial"/>
        </w:rPr>
        <w:t>y</w:t>
      </w:r>
      <w:r w:rsidR="008A3AB8" w:rsidRPr="008A3AB8">
        <w:rPr>
          <w:rFonts w:ascii="Arial" w:hAnsi="Arial" w:cs="Arial"/>
        </w:rPr>
        <w:t xml:space="preserve"> with the NPPF requirements for effective plan making.  </w:t>
      </w:r>
    </w:p>
    <w:p w14:paraId="218861E5" w14:textId="77777777" w:rsidR="00A31290" w:rsidRPr="00A31290" w:rsidRDefault="00A31290" w:rsidP="00A31290">
      <w:pPr>
        <w:pStyle w:val="ListParagraph"/>
        <w:rPr>
          <w:rFonts w:ascii="Arial" w:hAnsi="Arial" w:cs="Arial"/>
        </w:rPr>
      </w:pPr>
    </w:p>
    <w:p w14:paraId="0D7D789A" w14:textId="64DD337A" w:rsidR="00A31290" w:rsidRPr="00F422F9" w:rsidRDefault="00A31290" w:rsidP="00F422F9">
      <w:pPr>
        <w:pStyle w:val="ListParagraph"/>
        <w:spacing w:line="276" w:lineRule="auto"/>
        <w:rPr>
          <w:rFonts w:ascii="Arial" w:hAnsi="Arial" w:cs="Arial"/>
          <w:b/>
          <w:bCs/>
        </w:rPr>
      </w:pPr>
      <w:r w:rsidRPr="00F422F9">
        <w:rPr>
          <w:rFonts w:ascii="Arial" w:hAnsi="Arial" w:cs="Arial"/>
          <w:b/>
          <w:bCs/>
        </w:rPr>
        <w:t xml:space="preserve">Duty to </w:t>
      </w:r>
      <w:r w:rsidR="00F422F9">
        <w:rPr>
          <w:rFonts w:ascii="Arial" w:hAnsi="Arial" w:cs="Arial"/>
          <w:b/>
          <w:bCs/>
        </w:rPr>
        <w:t>C</w:t>
      </w:r>
      <w:r w:rsidRPr="00F422F9">
        <w:rPr>
          <w:rFonts w:ascii="Arial" w:hAnsi="Arial" w:cs="Arial"/>
          <w:b/>
          <w:bCs/>
        </w:rPr>
        <w:t>o</w:t>
      </w:r>
      <w:r w:rsidR="00F422F9">
        <w:rPr>
          <w:rFonts w:ascii="Arial" w:hAnsi="Arial" w:cs="Arial"/>
          <w:b/>
          <w:bCs/>
        </w:rPr>
        <w:t>-</w:t>
      </w:r>
      <w:r w:rsidR="00B61164">
        <w:rPr>
          <w:rFonts w:ascii="Arial" w:hAnsi="Arial" w:cs="Arial"/>
          <w:b/>
          <w:bCs/>
        </w:rPr>
        <w:t>o</w:t>
      </w:r>
      <w:r w:rsidR="00B61164" w:rsidRPr="00F422F9">
        <w:rPr>
          <w:rFonts w:ascii="Arial" w:hAnsi="Arial" w:cs="Arial"/>
          <w:b/>
          <w:bCs/>
        </w:rPr>
        <w:t>perate</w:t>
      </w:r>
    </w:p>
    <w:p w14:paraId="7E823B70" w14:textId="77777777" w:rsidR="00A31290" w:rsidRPr="00A31290" w:rsidRDefault="00A31290" w:rsidP="00A31290">
      <w:pPr>
        <w:pStyle w:val="ListParagraph"/>
        <w:rPr>
          <w:rFonts w:ascii="Arial" w:hAnsi="Arial" w:cs="Arial"/>
        </w:rPr>
      </w:pPr>
    </w:p>
    <w:p w14:paraId="78E25DEC" w14:textId="57FBCE29" w:rsidR="000D52FD" w:rsidRPr="00823BCC" w:rsidRDefault="002E4D19" w:rsidP="008022F6">
      <w:pPr>
        <w:pStyle w:val="ListParagraph"/>
        <w:numPr>
          <w:ilvl w:val="0"/>
          <w:numId w:val="8"/>
        </w:numPr>
        <w:spacing w:line="276" w:lineRule="auto"/>
        <w:rPr>
          <w:rFonts w:cstheme="minorHAnsi"/>
        </w:rPr>
      </w:pPr>
      <w:r w:rsidRPr="000D52FD">
        <w:rPr>
          <w:rFonts w:ascii="Arial" w:hAnsi="Arial" w:cs="Arial"/>
        </w:rPr>
        <w:t>HB</w:t>
      </w:r>
      <w:r w:rsidR="00191F48" w:rsidRPr="000D52FD">
        <w:rPr>
          <w:rFonts w:ascii="Arial" w:hAnsi="Arial" w:cs="Arial"/>
        </w:rPr>
        <w:t>F</w:t>
      </w:r>
      <w:r w:rsidRPr="000D52FD">
        <w:rPr>
          <w:rFonts w:ascii="Arial" w:hAnsi="Arial" w:cs="Arial"/>
        </w:rPr>
        <w:t xml:space="preserve"> note that a </w:t>
      </w:r>
      <w:r w:rsidR="00142A05">
        <w:rPr>
          <w:rFonts w:ascii="Arial" w:hAnsi="Arial" w:cs="Arial"/>
        </w:rPr>
        <w:t>D</w:t>
      </w:r>
      <w:r w:rsidRPr="000D52FD">
        <w:rPr>
          <w:rFonts w:ascii="Arial" w:hAnsi="Arial" w:cs="Arial"/>
        </w:rPr>
        <w:t xml:space="preserve">uty to </w:t>
      </w:r>
      <w:r w:rsidR="00142A05">
        <w:rPr>
          <w:rFonts w:ascii="Arial" w:hAnsi="Arial" w:cs="Arial"/>
        </w:rPr>
        <w:t>C</w:t>
      </w:r>
      <w:r w:rsidRPr="000D52FD">
        <w:rPr>
          <w:rFonts w:ascii="Arial" w:hAnsi="Arial" w:cs="Arial"/>
        </w:rPr>
        <w:t>ooperate Statement dated Sept 2024 has been prepared</w:t>
      </w:r>
      <w:r w:rsidRPr="000D52FD">
        <w:rPr>
          <w:rFonts w:ascii="Arial" w:hAnsi="Arial" w:cs="Arial"/>
          <w:color w:val="000000" w:themeColor="text1"/>
        </w:rPr>
        <w:t xml:space="preserve">, </w:t>
      </w:r>
      <w:hyperlink r:id="rId12" w:history="1">
        <w:r w:rsidR="00191F48" w:rsidRPr="000D52FD">
          <w:rPr>
            <w:rStyle w:val="Hyperlink"/>
            <w:rFonts w:ascii="Arial" w:hAnsi="Arial" w:cs="Arial"/>
            <w:color w:val="000000" w:themeColor="text1"/>
          </w:rPr>
          <w:t>https://www.sandwell.gov.uk/downloads/file/3267/slp-reg-19-duty-to-co-operate-statement</w:t>
        </w:r>
      </w:hyperlink>
      <w:r w:rsidR="000D52FD" w:rsidRPr="000D52FD">
        <w:rPr>
          <w:rFonts w:ascii="Arial" w:hAnsi="Arial" w:cs="Arial"/>
          <w:color w:val="000000" w:themeColor="text1"/>
        </w:rPr>
        <w:t xml:space="preserve"> but that </w:t>
      </w:r>
      <w:r w:rsidR="00B4280D">
        <w:rPr>
          <w:rFonts w:ascii="Arial" w:hAnsi="Arial" w:cs="Arial"/>
          <w:color w:val="000000" w:themeColor="text1"/>
        </w:rPr>
        <w:t xml:space="preserve">is not </w:t>
      </w:r>
      <w:r w:rsidRPr="000D52FD">
        <w:rPr>
          <w:rFonts w:ascii="Arial" w:hAnsi="Arial" w:cs="Arial"/>
        </w:rPr>
        <w:t xml:space="preserve">included </w:t>
      </w:r>
      <w:r w:rsidR="00B4280D">
        <w:rPr>
          <w:rFonts w:ascii="Arial" w:hAnsi="Arial" w:cs="Arial"/>
        </w:rPr>
        <w:t xml:space="preserve">on the Reg 19 </w:t>
      </w:r>
      <w:r w:rsidR="008F0787">
        <w:rPr>
          <w:rFonts w:ascii="Arial" w:hAnsi="Arial" w:cs="Arial"/>
        </w:rPr>
        <w:t>consultation</w:t>
      </w:r>
      <w:r w:rsidR="00B4280D">
        <w:rPr>
          <w:rFonts w:ascii="Arial" w:hAnsi="Arial" w:cs="Arial"/>
        </w:rPr>
        <w:t xml:space="preserve"> website</w:t>
      </w:r>
      <w:r w:rsidR="008022F6" w:rsidRPr="008022F6">
        <w:rPr>
          <w:rFonts w:ascii="Arial" w:hAnsi="Arial" w:cs="Arial"/>
        </w:rPr>
        <w:t xml:space="preserve"> </w:t>
      </w:r>
      <w:hyperlink r:id="rId13" w:history="1">
        <w:r w:rsidR="008022F6" w:rsidRPr="008022F6">
          <w:rPr>
            <w:rStyle w:val="Hyperlink"/>
            <w:rFonts w:ascii="Arial" w:hAnsi="Arial" w:cs="Arial"/>
            <w:color w:val="auto"/>
          </w:rPr>
          <w:t>https://sandwell.oc2.uk/</w:t>
        </w:r>
      </w:hyperlink>
      <w:r w:rsidR="008022F6">
        <w:rPr>
          <w:rFonts w:ascii="Arial" w:hAnsi="Arial" w:cs="Arial"/>
        </w:rPr>
        <w:t xml:space="preserve"> a</w:t>
      </w:r>
      <w:r w:rsidR="00B4280D" w:rsidRPr="008022F6">
        <w:rPr>
          <w:rFonts w:ascii="Arial" w:hAnsi="Arial" w:cs="Arial"/>
        </w:rPr>
        <w:t xml:space="preserve">nd has to be searched for separately on the </w:t>
      </w:r>
      <w:r w:rsidR="008F0787" w:rsidRPr="008022F6">
        <w:rPr>
          <w:rFonts w:ascii="Arial" w:hAnsi="Arial" w:cs="Arial"/>
        </w:rPr>
        <w:t>Council’s</w:t>
      </w:r>
      <w:r w:rsidR="00B4280D" w:rsidRPr="008022F6">
        <w:rPr>
          <w:rFonts w:ascii="Arial" w:hAnsi="Arial" w:cs="Arial"/>
        </w:rPr>
        <w:t xml:space="preserve"> website, as does the </w:t>
      </w:r>
      <w:r w:rsidR="008F0787" w:rsidRPr="008022F6">
        <w:rPr>
          <w:rFonts w:ascii="Arial" w:hAnsi="Arial" w:cs="Arial"/>
        </w:rPr>
        <w:t>consultation</w:t>
      </w:r>
      <w:r w:rsidR="00B4280D" w:rsidRPr="008022F6">
        <w:rPr>
          <w:rFonts w:ascii="Arial" w:hAnsi="Arial" w:cs="Arial"/>
        </w:rPr>
        <w:t xml:space="preserve"> </w:t>
      </w:r>
      <w:r w:rsidR="008F0787" w:rsidRPr="008022F6">
        <w:rPr>
          <w:rFonts w:ascii="Arial" w:hAnsi="Arial" w:cs="Arial"/>
        </w:rPr>
        <w:t>statement and other supporting documentation.</w:t>
      </w:r>
    </w:p>
    <w:p w14:paraId="4A8BE38E" w14:textId="77777777" w:rsidR="00823BCC" w:rsidRPr="00823BCC" w:rsidRDefault="00823BCC" w:rsidP="00823BCC">
      <w:pPr>
        <w:pStyle w:val="ListParagraph"/>
        <w:spacing w:line="276" w:lineRule="auto"/>
        <w:rPr>
          <w:rFonts w:cstheme="minorHAnsi"/>
        </w:rPr>
      </w:pPr>
    </w:p>
    <w:p w14:paraId="55B5206F" w14:textId="7CE6455F" w:rsidR="00823BCC" w:rsidRPr="00C16E9F" w:rsidRDefault="00BA75B8" w:rsidP="00E661DA">
      <w:pPr>
        <w:pStyle w:val="ListParagraph"/>
        <w:numPr>
          <w:ilvl w:val="0"/>
          <w:numId w:val="8"/>
        </w:numPr>
        <w:spacing w:line="276" w:lineRule="auto"/>
        <w:rPr>
          <w:rFonts w:cstheme="minorHAnsi"/>
        </w:rPr>
      </w:pPr>
      <w:r w:rsidRPr="00C16E9F">
        <w:rPr>
          <w:rFonts w:ascii="Arial" w:hAnsi="Arial" w:cs="Arial"/>
        </w:rPr>
        <w:t xml:space="preserve">Table 2 of the DTC statement sets out the </w:t>
      </w:r>
      <w:r w:rsidR="009F444A" w:rsidRPr="00C16E9F">
        <w:rPr>
          <w:rFonts w:ascii="Arial" w:hAnsi="Arial" w:cs="Arial"/>
        </w:rPr>
        <w:t>Statements of Common Ground in relation to the apportionment of contributions between the four Black Country LPAs and the apportionment of contributions</w:t>
      </w:r>
      <w:r w:rsidR="00C16E9F" w:rsidRPr="00C16E9F">
        <w:rPr>
          <w:rFonts w:ascii="Arial" w:hAnsi="Arial" w:cs="Arial"/>
        </w:rPr>
        <w:t xml:space="preserve"> between the Greater Birmingham and Black Country Housing Market Area</w:t>
      </w:r>
      <w:r w:rsidR="00C16E9F">
        <w:rPr>
          <w:rFonts w:ascii="Arial" w:hAnsi="Arial" w:cs="Arial"/>
        </w:rPr>
        <w:t xml:space="preserve"> and an agreement to refresh </w:t>
      </w:r>
      <w:r w:rsidR="00980581">
        <w:rPr>
          <w:rFonts w:ascii="Arial" w:hAnsi="Arial" w:cs="Arial"/>
        </w:rPr>
        <w:t>the Housing Growth Study remain in discussion.  As does the</w:t>
      </w:r>
      <w:r w:rsidR="00D62A51">
        <w:rPr>
          <w:rFonts w:ascii="Arial" w:hAnsi="Arial" w:cs="Arial"/>
        </w:rPr>
        <w:t xml:space="preserve"> SoCG about Telford and Wrekin council making a housing land contribution</w:t>
      </w:r>
      <w:r w:rsidR="004B49C0">
        <w:rPr>
          <w:rFonts w:ascii="Arial" w:hAnsi="Arial" w:cs="Arial"/>
        </w:rPr>
        <w:t>.</w:t>
      </w:r>
    </w:p>
    <w:p w14:paraId="11656002" w14:textId="77777777" w:rsidR="000D52FD" w:rsidRPr="000D52FD" w:rsidRDefault="000D52FD" w:rsidP="00B30D85">
      <w:pPr>
        <w:pStyle w:val="ListParagraph"/>
        <w:spacing w:line="276" w:lineRule="auto"/>
        <w:rPr>
          <w:rFonts w:cstheme="minorHAnsi"/>
        </w:rPr>
      </w:pPr>
    </w:p>
    <w:p w14:paraId="2E3EB49B" w14:textId="3F5045FC" w:rsidR="007849AA" w:rsidRPr="007D0590" w:rsidRDefault="00A31290" w:rsidP="0060089E">
      <w:pPr>
        <w:pStyle w:val="ListParagraph"/>
        <w:numPr>
          <w:ilvl w:val="0"/>
          <w:numId w:val="8"/>
        </w:numPr>
        <w:spacing w:line="276" w:lineRule="auto"/>
        <w:rPr>
          <w:rFonts w:cstheme="minorHAnsi"/>
        </w:rPr>
      </w:pPr>
      <w:r w:rsidRPr="007D0590">
        <w:rPr>
          <w:rFonts w:ascii="Arial" w:hAnsi="Arial" w:cs="Arial"/>
        </w:rPr>
        <w:t xml:space="preserve">HBF </w:t>
      </w:r>
      <w:r w:rsidR="004B49C0" w:rsidRPr="007D0590">
        <w:rPr>
          <w:rFonts w:ascii="Arial" w:hAnsi="Arial" w:cs="Arial"/>
        </w:rPr>
        <w:t xml:space="preserve">therefore </w:t>
      </w:r>
      <w:r w:rsidR="00B30D85" w:rsidRPr="007D0590">
        <w:rPr>
          <w:rFonts w:ascii="Arial" w:hAnsi="Arial" w:cs="Arial"/>
        </w:rPr>
        <w:t xml:space="preserve">remain </w:t>
      </w:r>
      <w:r w:rsidRPr="007D0590">
        <w:rPr>
          <w:rFonts w:ascii="Arial" w:hAnsi="Arial" w:cs="Arial"/>
        </w:rPr>
        <w:t xml:space="preserve">unclear if the </w:t>
      </w:r>
      <w:r w:rsidR="007849AA" w:rsidRPr="007D0590">
        <w:rPr>
          <w:rFonts w:ascii="Arial" w:hAnsi="Arial" w:cs="Arial"/>
        </w:rPr>
        <w:t>D</w:t>
      </w:r>
      <w:r w:rsidRPr="007D0590">
        <w:rPr>
          <w:rFonts w:ascii="Arial" w:hAnsi="Arial" w:cs="Arial"/>
        </w:rPr>
        <w:t xml:space="preserve">uty to </w:t>
      </w:r>
      <w:r w:rsidR="007849AA" w:rsidRPr="007D0590">
        <w:rPr>
          <w:rFonts w:ascii="Arial" w:hAnsi="Arial" w:cs="Arial"/>
        </w:rPr>
        <w:t>C</w:t>
      </w:r>
      <w:r w:rsidRPr="007D0590">
        <w:rPr>
          <w:rFonts w:ascii="Arial" w:hAnsi="Arial" w:cs="Arial"/>
        </w:rPr>
        <w:t>ooperate has been met</w:t>
      </w:r>
      <w:r w:rsidR="00E764D5" w:rsidRPr="007D0590">
        <w:rPr>
          <w:rFonts w:ascii="Arial" w:hAnsi="Arial" w:cs="Arial"/>
        </w:rPr>
        <w:t>.</w:t>
      </w:r>
      <w:r w:rsidR="00335133" w:rsidRPr="007D0590">
        <w:rPr>
          <w:rFonts w:ascii="Arial" w:hAnsi="Arial" w:cs="Arial"/>
        </w:rPr>
        <w:t xml:space="preserve">  </w:t>
      </w:r>
      <w:r w:rsidR="007849AA" w:rsidRPr="007D0590">
        <w:rPr>
          <w:rFonts w:ascii="Arial" w:hAnsi="Arial" w:cs="Arial"/>
        </w:rPr>
        <w:t xml:space="preserve">Although we welcome the DTC Statement, which we requested in our Reg 18 response, </w:t>
      </w:r>
      <w:r w:rsidR="00E85535" w:rsidRPr="007D0590">
        <w:rPr>
          <w:rFonts w:ascii="Arial" w:hAnsi="Arial" w:cs="Arial"/>
        </w:rPr>
        <w:t xml:space="preserve">the current </w:t>
      </w:r>
      <w:r w:rsidR="007D0590" w:rsidRPr="007D0590">
        <w:rPr>
          <w:rFonts w:ascii="Arial" w:hAnsi="Arial" w:cs="Arial"/>
        </w:rPr>
        <w:t>position</w:t>
      </w:r>
      <w:r w:rsidR="00E85535" w:rsidRPr="007D0590">
        <w:rPr>
          <w:rFonts w:ascii="Arial" w:hAnsi="Arial" w:cs="Arial"/>
        </w:rPr>
        <w:t xml:space="preserve"> of </w:t>
      </w:r>
      <w:proofErr w:type="spellStart"/>
      <w:r w:rsidR="007D0590" w:rsidRPr="007D0590">
        <w:rPr>
          <w:rFonts w:ascii="Arial" w:hAnsi="Arial" w:cs="Arial"/>
        </w:rPr>
        <w:t>nieghbouring</w:t>
      </w:r>
      <w:proofErr w:type="spellEnd"/>
      <w:r w:rsidR="00E85535" w:rsidRPr="007D0590">
        <w:rPr>
          <w:rFonts w:ascii="Arial" w:hAnsi="Arial" w:cs="Arial"/>
        </w:rPr>
        <w:t xml:space="preserve"> </w:t>
      </w:r>
      <w:r w:rsidR="007D0590" w:rsidRPr="007D0590">
        <w:rPr>
          <w:rFonts w:ascii="Arial" w:hAnsi="Arial" w:cs="Arial"/>
        </w:rPr>
        <w:t>authorities</w:t>
      </w:r>
      <w:r w:rsidR="00E85535" w:rsidRPr="007D0590">
        <w:rPr>
          <w:rFonts w:ascii="Arial" w:hAnsi="Arial" w:cs="Arial"/>
        </w:rPr>
        <w:t xml:space="preserve"> in relation to Sandwell’s Local Plan remains unclear.</w:t>
      </w:r>
      <w:r w:rsidR="007D0590" w:rsidRPr="007D0590">
        <w:rPr>
          <w:rFonts w:ascii="Arial" w:hAnsi="Arial" w:cs="Arial"/>
        </w:rPr>
        <w:t xml:space="preserve">  </w:t>
      </w:r>
      <w:r w:rsidR="00956BCB" w:rsidRPr="007D0590">
        <w:rPr>
          <w:rFonts w:ascii="Arial" w:hAnsi="Arial" w:cs="Arial"/>
        </w:rPr>
        <w:t>HBF agree that meeting unmet housing need</w:t>
      </w:r>
      <w:r w:rsidR="009410C3" w:rsidRPr="007D0590">
        <w:rPr>
          <w:rFonts w:ascii="Arial" w:hAnsi="Arial" w:cs="Arial"/>
        </w:rPr>
        <w:t xml:space="preserve"> was one of the main strategic matters being addressed through the Black Country Plan</w:t>
      </w:r>
      <w:r w:rsidR="0066497E" w:rsidRPr="007D0590">
        <w:rPr>
          <w:rFonts w:ascii="Arial" w:hAnsi="Arial" w:cs="Arial"/>
        </w:rPr>
        <w:t xml:space="preserve"> and as such continues to be one of the principal cross-boundary issues to be addressed in the preparation of the Sandwell Local Plan.</w:t>
      </w:r>
    </w:p>
    <w:p w14:paraId="2C978996" w14:textId="77777777" w:rsidR="00246F2F" w:rsidRPr="00246F2F" w:rsidRDefault="00246F2F" w:rsidP="00246F2F">
      <w:pPr>
        <w:pStyle w:val="ListParagraph"/>
        <w:rPr>
          <w:rFonts w:cstheme="minorHAnsi"/>
        </w:rPr>
      </w:pPr>
    </w:p>
    <w:p w14:paraId="390915D6" w14:textId="31C9F6C5" w:rsidR="00246F2F" w:rsidRPr="00246F2F" w:rsidRDefault="00246F2F" w:rsidP="00246F2F">
      <w:pPr>
        <w:pStyle w:val="ListParagraph"/>
        <w:spacing w:line="276" w:lineRule="auto"/>
        <w:rPr>
          <w:rFonts w:cstheme="minorHAnsi"/>
          <w:b/>
          <w:bCs/>
        </w:rPr>
      </w:pPr>
      <w:r w:rsidRPr="00246F2F">
        <w:rPr>
          <w:rFonts w:cstheme="minorHAnsi"/>
          <w:b/>
          <w:bCs/>
        </w:rPr>
        <w:t>Problems with the Shropshire Local Plan EIP</w:t>
      </w:r>
    </w:p>
    <w:p w14:paraId="0CE92C6C" w14:textId="77777777" w:rsidR="00246F2F" w:rsidRPr="00246F2F" w:rsidRDefault="00246F2F" w:rsidP="00246F2F">
      <w:pPr>
        <w:pStyle w:val="ListParagraph"/>
        <w:rPr>
          <w:rFonts w:cstheme="minorHAnsi"/>
        </w:rPr>
      </w:pPr>
    </w:p>
    <w:p w14:paraId="5E29E8CD" w14:textId="4BDB6447" w:rsidR="00FE6A51" w:rsidRDefault="007D0590" w:rsidP="00EC3E2D">
      <w:pPr>
        <w:pStyle w:val="ListParagraph"/>
        <w:numPr>
          <w:ilvl w:val="0"/>
          <w:numId w:val="8"/>
        </w:numPr>
        <w:spacing w:line="276" w:lineRule="auto"/>
        <w:rPr>
          <w:rFonts w:cstheme="minorHAnsi"/>
        </w:rPr>
      </w:pPr>
      <w:r w:rsidRPr="00FE6A51">
        <w:rPr>
          <w:rFonts w:cstheme="minorHAnsi"/>
        </w:rPr>
        <w:t xml:space="preserve">Table 2 of the </w:t>
      </w:r>
      <w:r w:rsidR="000472D3" w:rsidRPr="00FE6A51">
        <w:rPr>
          <w:rFonts w:cstheme="minorHAnsi"/>
        </w:rPr>
        <w:t xml:space="preserve">DTC statement states that a SoCG has been drafted and agreed </w:t>
      </w:r>
      <w:r w:rsidR="00627FC3" w:rsidRPr="00FE6A51">
        <w:rPr>
          <w:rFonts w:cstheme="minorHAnsi"/>
        </w:rPr>
        <w:t xml:space="preserve">with Shropshire Council.  However, </w:t>
      </w:r>
      <w:r w:rsidR="00246F2F" w:rsidRPr="00FE6A51">
        <w:rPr>
          <w:rFonts w:cstheme="minorHAnsi"/>
        </w:rPr>
        <w:t xml:space="preserve">HBF note that </w:t>
      </w:r>
      <w:r w:rsidR="00F02150" w:rsidRPr="00FE6A51">
        <w:rPr>
          <w:rFonts w:cstheme="minorHAnsi"/>
        </w:rPr>
        <w:t>Inspectors</w:t>
      </w:r>
      <w:r w:rsidR="00246F2F" w:rsidRPr="00FE6A51">
        <w:rPr>
          <w:rFonts w:cstheme="minorHAnsi"/>
        </w:rPr>
        <w:t xml:space="preserve"> of the Shropshire </w:t>
      </w:r>
      <w:r w:rsidR="00F02150" w:rsidRPr="00FE6A51">
        <w:rPr>
          <w:rFonts w:cstheme="minorHAnsi"/>
        </w:rPr>
        <w:t>L</w:t>
      </w:r>
      <w:r w:rsidR="00246F2F" w:rsidRPr="00FE6A51">
        <w:rPr>
          <w:rFonts w:cstheme="minorHAnsi"/>
        </w:rPr>
        <w:t xml:space="preserve">ocal Plan have recently written to Shropshire Council expressing </w:t>
      </w:r>
      <w:r w:rsidR="00312804" w:rsidRPr="00FE6A51">
        <w:rPr>
          <w:rFonts w:cstheme="minorHAnsi"/>
        </w:rPr>
        <w:t>significant</w:t>
      </w:r>
      <w:r w:rsidR="00246F2F" w:rsidRPr="00FE6A51">
        <w:rPr>
          <w:rFonts w:cstheme="minorHAnsi"/>
        </w:rPr>
        <w:t xml:space="preserve"> </w:t>
      </w:r>
      <w:r w:rsidR="00312804" w:rsidRPr="00FE6A51">
        <w:rPr>
          <w:rFonts w:cstheme="minorHAnsi"/>
        </w:rPr>
        <w:t>concerns</w:t>
      </w:r>
      <w:r w:rsidR="00246F2F" w:rsidRPr="00FE6A51">
        <w:rPr>
          <w:rFonts w:cstheme="minorHAnsi"/>
        </w:rPr>
        <w:t xml:space="preserve"> about the </w:t>
      </w:r>
      <w:r w:rsidR="00312804" w:rsidRPr="00FE6A51">
        <w:rPr>
          <w:rFonts w:cstheme="minorHAnsi"/>
        </w:rPr>
        <w:t>soundness</w:t>
      </w:r>
      <w:r w:rsidR="00246F2F" w:rsidRPr="00FE6A51">
        <w:rPr>
          <w:rFonts w:cstheme="minorHAnsi"/>
        </w:rPr>
        <w:t xml:space="preserve"> of their Plan and the planned future EIP hearing </w:t>
      </w:r>
      <w:r w:rsidR="00312804" w:rsidRPr="00FE6A51">
        <w:rPr>
          <w:rFonts w:cstheme="minorHAnsi"/>
        </w:rPr>
        <w:t>sessions</w:t>
      </w:r>
      <w:r w:rsidR="00246F2F" w:rsidRPr="00FE6A51">
        <w:rPr>
          <w:rFonts w:cstheme="minorHAnsi"/>
        </w:rPr>
        <w:t xml:space="preserve"> on the Shropshire Plan have bee</w:t>
      </w:r>
      <w:r w:rsidR="00765BAF" w:rsidRPr="00FE6A51">
        <w:rPr>
          <w:rFonts w:cstheme="minorHAnsi"/>
        </w:rPr>
        <w:t>n</w:t>
      </w:r>
      <w:r w:rsidR="00246F2F" w:rsidRPr="00FE6A51">
        <w:rPr>
          <w:rFonts w:cstheme="minorHAnsi"/>
        </w:rPr>
        <w:t xml:space="preserve"> cancelled.  </w:t>
      </w:r>
      <w:r w:rsidR="00FE6A51" w:rsidRPr="00FE6A51">
        <w:rPr>
          <w:rFonts w:cstheme="minorHAnsi"/>
        </w:rPr>
        <w:t xml:space="preserve">See </w:t>
      </w:r>
      <w:hyperlink r:id="rId14" w:history="1">
        <w:r w:rsidR="00FE6A51" w:rsidRPr="00FE6A51">
          <w:rPr>
            <w:rStyle w:val="Hyperlink"/>
            <w:rFonts w:cstheme="minorHAnsi"/>
            <w:color w:val="7F7F7F" w:themeColor="text1" w:themeTint="80"/>
          </w:rPr>
          <w:t>https://www.shropshire.gov.uk/planning-policy/local-planning/local-plan-review/draft-shropshire-local-plan-2016-2038-examination/examination-calendar/</w:t>
        </w:r>
      </w:hyperlink>
      <w:r w:rsidR="00FE6A51" w:rsidRPr="00FE6A51">
        <w:rPr>
          <w:rFonts w:cstheme="minorHAnsi"/>
          <w:color w:val="7F7F7F" w:themeColor="text1" w:themeTint="80"/>
        </w:rPr>
        <w:t xml:space="preserve"> </w:t>
      </w:r>
      <w:r w:rsidR="00FE6A51" w:rsidRPr="00FE6A51">
        <w:rPr>
          <w:rFonts w:cstheme="minorHAnsi"/>
        </w:rPr>
        <w:t>and</w:t>
      </w:r>
      <w:r w:rsidR="00D04D34">
        <w:rPr>
          <w:rFonts w:cstheme="minorHAnsi"/>
        </w:rPr>
        <w:t xml:space="preserve"> </w:t>
      </w:r>
      <w:hyperlink r:id="rId15" w:history="1">
        <w:r w:rsidR="00D04D34" w:rsidRPr="00D04D34">
          <w:rPr>
            <w:rStyle w:val="Hyperlink"/>
            <w:rFonts w:cstheme="minorHAnsi"/>
            <w:color w:val="7F7F7F" w:themeColor="text1" w:themeTint="80"/>
          </w:rPr>
          <w:t>https://www.shropshire.gov.uk/media/29185/id46-stage-2-hearings-holding-letter.pdf</w:t>
        </w:r>
      </w:hyperlink>
    </w:p>
    <w:p w14:paraId="02F9D85B" w14:textId="77777777" w:rsidR="00D04D34" w:rsidRPr="00D04D34" w:rsidRDefault="00D04D34" w:rsidP="00D04D34">
      <w:pPr>
        <w:spacing w:line="276" w:lineRule="auto"/>
        <w:rPr>
          <w:rFonts w:cstheme="minorHAnsi"/>
        </w:rPr>
      </w:pPr>
    </w:p>
    <w:p w14:paraId="6D85A0AB" w14:textId="49CADEB0" w:rsidR="00246F2F" w:rsidRDefault="00246F2F" w:rsidP="00FB280A">
      <w:pPr>
        <w:pStyle w:val="ListParagraph"/>
        <w:numPr>
          <w:ilvl w:val="0"/>
          <w:numId w:val="8"/>
        </w:numPr>
        <w:spacing w:line="276" w:lineRule="auto"/>
        <w:rPr>
          <w:rFonts w:cstheme="minorHAnsi"/>
        </w:rPr>
      </w:pPr>
      <w:r>
        <w:rPr>
          <w:rFonts w:cstheme="minorHAnsi"/>
        </w:rPr>
        <w:t xml:space="preserve">This would seem to raise questions around the </w:t>
      </w:r>
      <w:r w:rsidR="00723329">
        <w:rPr>
          <w:rFonts w:cstheme="minorHAnsi"/>
        </w:rPr>
        <w:t xml:space="preserve">soundness </w:t>
      </w:r>
      <w:r>
        <w:rPr>
          <w:rFonts w:cstheme="minorHAnsi"/>
        </w:rPr>
        <w:t xml:space="preserve">of the Sandwell Plan if this </w:t>
      </w:r>
      <w:r w:rsidR="004B2A2D">
        <w:rPr>
          <w:rFonts w:cstheme="minorHAnsi"/>
        </w:rPr>
        <w:t xml:space="preserve">Plan </w:t>
      </w:r>
      <w:r>
        <w:rPr>
          <w:rFonts w:cstheme="minorHAnsi"/>
        </w:rPr>
        <w:t xml:space="preserve">is seeking to rely on Shropshire delivering housing to meet </w:t>
      </w:r>
      <w:r w:rsidR="004B2A2D">
        <w:rPr>
          <w:rFonts w:cstheme="minorHAnsi"/>
        </w:rPr>
        <w:t>some of Sandwell’s u</w:t>
      </w:r>
      <w:r>
        <w:rPr>
          <w:rFonts w:cstheme="minorHAnsi"/>
        </w:rPr>
        <w:t>nmet need.</w:t>
      </w:r>
    </w:p>
    <w:p w14:paraId="0BCD330F" w14:textId="77777777" w:rsidR="00B86547" w:rsidRDefault="00B86547" w:rsidP="00B86547">
      <w:pPr>
        <w:pStyle w:val="ListParagraph"/>
        <w:spacing w:line="276" w:lineRule="auto"/>
        <w:rPr>
          <w:rFonts w:cstheme="minorHAnsi"/>
        </w:rPr>
      </w:pPr>
    </w:p>
    <w:p w14:paraId="2247050E" w14:textId="4215D9F9" w:rsidR="00723329" w:rsidRPr="00BD33C0" w:rsidRDefault="00723329" w:rsidP="00FB280A">
      <w:pPr>
        <w:pStyle w:val="ListParagraph"/>
        <w:numPr>
          <w:ilvl w:val="0"/>
          <w:numId w:val="8"/>
        </w:numPr>
        <w:spacing w:line="276" w:lineRule="auto"/>
        <w:rPr>
          <w:rFonts w:cstheme="minorHAnsi"/>
        </w:rPr>
      </w:pPr>
      <w:r>
        <w:rPr>
          <w:rFonts w:cstheme="minorHAnsi"/>
        </w:rPr>
        <w:t xml:space="preserve">HBF would be keen to understand the </w:t>
      </w:r>
      <w:r w:rsidR="00B86547">
        <w:rPr>
          <w:rFonts w:cstheme="minorHAnsi"/>
        </w:rPr>
        <w:t>Council’s</w:t>
      </w:r>
      <w:r>
        <w:rPr>
          <w:rFonts w:cstheme="minorHAnsi"/>
        </w:rPr>
        <w:t xml:space="preserve"> view on the implication of this </w:t>
      </w:r>
      <w:r w:rsidR="00E17818">
        <w:rPr>
          <w:rFonts w:cstheme="minorHAnsi"/>
        </w:rPr>
        <w:t>latest development in the Shropshire Local Plan EIP on t</w:t>
      </w:r>
      <w:r>
        <w:rPr>
          <w:rFonts w:cstheme="minorHAnsi"/>
        </w:rPr>
        <w:t xml:space="preserve">he Duty to </w:t>
      </w:r>
      <w:r w:rsidR="00B86547">
        <w:rPr>
          <w:rFonts w:cstheme="minorHAnsi"/>
        </w:rPr>
        <w:t>Cooperate</w:t>
      </w:r>
      <w:r w:rsidR="00E17818">
        <w:rPr>
          <w:rFonts w:cstheme="minorHAnsi"/>
        </w:rPr>
        <w:t xml:space="preserve"> in relation to Sandwell’s Plan.  </w:t>
      </w:r>
      <w:r w:rsidR="009B0665">
        <w:rPr>
          <w:rFonts w:cstheme="minorHAnsi"/>
        </w:rPr>
        <w:t>Wh</w:t>
      </w:r>
      <w:r w:rsidR="00600545">
        <w:rPr>
          <w:rFonts w:cstheme="minorHAnsi"/>
        </w:rPr>
        <w:t xml:space="preserve">at conversations have been undertaking during, and </w:t>
      </w:r>
      <w:proofErr w:type="gramStart"/>
      <w:r w:rsidR="00B86547">
        <w:rPr>
          <w:rFonts w:cstheme="minorHAnsi"/>
        </w:rPr>
        <w:t>subsequent</w:t>
      </w:r>
      <w:r w:rsidR="00600545">
        <w:rPr>
          <w:rFonts w:cstheme="minorHAnsi"/>
        </w:rPr>
        <w:t xml:space="preserve"> to</w:t>
      </w:r>
      <w:proofErr w:type="gramEnd"/>
      <w:r w:rsidR="00600545">
        <w:rPr>
          <w:rFonts w:cstheme="minorHAnsi"/>
        </w:rPr>
        <w:t xml:space="preserve">, the Shropshire EIP </w:t>
      </w:r>
      <w:r w:rsidR="009B0665">
        <w:rPr>
          <w:rFonts w:cstheme="minorHAnsi"/>
        </w:rPr>
        <w:t>soundness</w:t>
      </w:r>
      <w:r w:rsidR="00600545">
        <w:rPr>
          <w:rFonts w:cstheme="minorHAnsi"/>
        </w:rPr>
        <w:t xml:space="preserve"> issues coming to light</w:t>
      </w:r>
      <w:r w:rsidR="009B0665">
        <w:rPr>
          <w:rFonts w:cstheme="minorHAnsi"/>
        </w:rPr>
        <w:t>?</w:t>
      </w:r>
      <w:r w:rsidR="00600545">
        <w:rPr>
          <w:rFonts w:cstheme="minorHAnsi"/>
        </w:rPr>
        <w:t xml:space="preserve">  At the very least the DTC statement will need updating to reflect th</w:t>
      </w:r>
      <w:r w:rsidR="00B86547">
        <w:rPr>
          <w:rFonts w:cstheme="minorHAnsi"/>
        </w:rPr>
        <w:t xml:space="preserve">e current position.  </w:t>
      </w:r>
      <w:r w:rsidR="009B0665">
        <w:rPr>
          <w:rFonts w:cstheme="minorHAnsi"/>
        </w:rPr>
        <w:t>Without</w:t>
      </w:r>
      <w:r w:rsidR="00B22D0F">
        <w:rPr>
          <w:rFonts w:cstheme="minorHAnsi"/>
        </w:rPr>
        <w:t xml:space="preserve"> this information being </w:t>
      </w:r>
      <w:r w:rsidR="009B0665">
        <w:rPr>
          <w:rFonts w:cstheme="minorHAnsi"/>
        </w:rPr>
        <w:t>publicly</w:t>
      </w:r>
      <w:r w:rsidR="00B22D0F">
        <w:rPr>
          <w:rFonts w:cstheme="minorHAnsi"/>
        </w:rPr>
        <w:t xml:space="preserve"> available </w:t>
      </w:r>
      <w:proofErr w:type="gramStart"/>
      <w:r w:rsidR="00B22D0F">
        <w:rPr>
          <w:rFonts w:cstheme="minorHAnsi"/>
        </w:rPr>
        <w:t xml:space="preserve">at </w:t>
      </w:r>
      <w:r w:rsidR="00B86547">
        <w:rPr>
          <w:rFonts w:cstheme="minorHAnsi"/>
        </w:rPr>
        <w:t>this point in time</w:t>
      </w:r>
      <w:proofErr w:type="gramEnd"/>
      <w:r w:rsidR="00B86547">
        <w:rPr>
          <w:rFonts w:cstheme="minorHAnsi"/>
        </w:rPr>
        <w:t xml:space="preserve"> HBF are unable to </w:t>
      </w:r>
      <w:r w:rsidR="00B22D0F">
        <w:rPr>
          <w:rFonts w:cstheme="minorHAnsi"/>
        </w:rPr>
        <w:t xml:space="preserve">fully assess the </w:t>
      </w:r>
      <w:r w:rsidR="009B0665">
        <w:rPr>
          <w:rFonts w:cstheme="minorHAnsi"/>
        </w:rPr>
        <w:t>impact</w:t>
      </w:r>
      <w:r w:rsidR="00B22D0F">
        <w:rPr>
          <w:rFonts w:cstheme="minorHAnsi"/>
        </w:rPr>
        <w:t xml:space="preserve"> of this </w:t>
      </w:r>
      <w:r w:rsidR="00465E9F">
        <w:rPr>
          <w:rFonts w:cstheme="minorHAnsi"/>
        </w:rPr>
        <w:t xml:space="preserve">issue </w:t>
      </w:r>
      <w:r w:rsidR="00B22D0F">
        <w:rPr>
          <w:rFonts w:cstheme="minorHAnsi"/>
        </w:rPr>
        <w:t xml:space="preserve">on compliance with the </w:t>
      </w:r>
      <w:r w:rsidR="009B0665">
        <w:rPr>
          <w:rFonts w:cstheme="minorHAnsi"/>
        </w:rPr>
        <w:t>Duty</w:t>
      </w:r>
      <w:r w:rsidR="00B22D0F">
        <w:rPr>
          <w:rFonts w:cstheme="minorHAnsi"/>
        </w:rPr>
        <w:t xml:space="preserve"> to </w:t>
      </w:r>
      <w:r w:rsidR="009B0665">
        <w:rPr>
          <w:rFonts w:cstheme="minorHAnsi"/>
        </w:rPr>
        <w:t>Cooperate</w:t>
      </w:r>
      <w:r w:rsidR="001033A4">
        <w:rPr>
          <w:rFonts w:cstheme="minorHAnsi"/>
        </w:rPr>
        <w:t>.</w:t>
      </w:r>
    </w:p>
    <w:p w14:paraId="39112520" w14:textId="77777777" w:rsidR="00E764D5" w:rsidRPr="004A2111" w:rsidRDefault="00E764D5" w:rsidP="00E764D5">
      <w:pPr>
        <w:pStyle w:val="ListParagraph"/>
        <w:rPr>
          <w:rFonts w:cstheme="minorHAnsi"/>
        </w:rPr>
      </w:pPr>
    </w:p>
    <w:p w14:paraId="2ECB64EB" w14:textId="62565C68" w:rsidR="00E764D5" w:rsidRDefault="00E764D5" w:rsidP="00E764D5">
      <w:pPr>
        <w:pStyle w:val="ListParagraph"/>
        <w:numPr>
          <w:ilvl w:val="0"/>
          <w:numId w:val="8"/>
        </w:numPr>
        <w:rPr>
          <w:rFonts w:cstheme="minorHAnsi"/>
        </w:rPr>
      </w:pPr>
      <w:r>
        <w:rPr>
          <w:rFonts w:cstheme="minorHAnsi"/>
        </w:rPr>
        <w:t xml:space="preserve">HBF’s main concerns around Duty to Cooperate </w:t>
      </w:r>
      <w:r w:rsidR="001033A4">
        <w:rPr>
          <w:rFonts w:cstheme="minorHAnsi"/>
        </w:rPr>
        <w:t xml:space="preserve">continue to </w:t>
      </w:r>
      <w:r>
        <w:rPr>
          <w:rFonts w:cstheme="minorHAnsi"/>
        </w:rPr>
        <w:t xml:space="preserve">relate to ensuring </w:t>
      </w:r>
      <w:r w:rsidR="00026B88">
        <w:rPr>
          <w:rFonts w:cstheme="minorHAnsi"/>
        </w:rPr>
        <w:t xml:space="preserve">that Sandwell’s </w:t>
      </w:r>
      <w:r>
        <w:rPr>
          <w:rFonts w:cstheme="minorHAnsi"/>
        </w:rPr>
        <w:t xml:space="preserve">required amount of housing is </w:t>
      </w:r>
      <w:proofErr w:type="gramStart"/>
      <w:r>
        <w:rPr>
          <w:rFonts w:cstheme="minorHAnsi"/>
        </w:rPr>
        <w:t>delivered in reality</w:t>
      </w:r>
      <w:proofErr w:type="gramEnd"/>
      <w:r>
        <w:rPr>
          <w:rFonts w:cstheme="minorHAnsi"/>
        </w:rPr>
        <w:t xml:space="preserve">.  This is particularly important because the current Plan the indicates a significant amount of unmet need.  </w:t>
      </w:r>
      <w:r w:rsidRPr="00FF7127">
        <w:rPr>
          <w:rFonts w:cstheme="minorHAnsi"/>
        </w:rPr>
        <w:t>The issue of fully meeting housing needs within Sandwell remains</w:t>
      </w:r>
      <w:r>
        <w:rPr>
          <w:rFonts w:cstheme="minorHAnsi"/>
        </w:rPr>
        <w:t>.  Our more detailed comments on this issue can be found in response to Policy SDS1.</w:t>
      </w:r>
    </w:p>
    <w:p w14:paraId="53134C75" w14:textId="77777777" w:rsidR="00544321" w:rsidRPr="00544321" w:rsidRDefault="00544321" w:rsidP="00544321">
      <w:pPr>
        <w:pStyle w:val="ListParagraph"/>
        <w:rPr>
          <w:rFonts w:cstheme="minorHAnsi"/>
        </w:rPr>
      </w:pPr>
    </w:p>
    <w:p w14:paraId="09492935" w14:textId="77777777" w:rsidR="00544321" w:rsidRPr="007D65BC" w:rsidRDefault="00544321" w:rsidP="007D65BC">
      <w:pPr>
        <w:pStyle w:val="ListParagraph"/>
        <w:rPr>
          <w:rFonts w:cstheme="minorHAnsi"/>
          <w:b/>
          <w:bCs/>
        </w:rPr>
      </w:pPr>
      <w:r w:rsidRPr="007D65BC">
        <w:rPr>
          <w:rFonts w:cstheme="minorHAnsi"/>
          <w:b/>
          <w:bCs/>
        </w:rPr>
        <w:t>Vision for Sandwell</w:t>
      </w:r>
    </w:p>
    <w:p w14:paraId="01B0C9A9" w14:textId="77777777" w:rsidR="00734778" w:rsidRPr="00734778" w:rsidRDefault="00734778" w:rsidP="00734778">
      <w:pPr>
        <w:pStyle w:val="ListParagraph"/>
        <w:rPr>
          <w:rFonts w:cstheme="minorHAnsi"/>
        </w:rPr>
      </w:pPr>
    </w:p>
    <w:p w14:paraId="69B5E220" w14:textId="45127E55" w:rsidR="00734778" w:rsidRPr="00DA6EFE" w:rsidRDefault="00734778" w:rsidP="007D65BC">
      <w:pPr>
        <w:pStyle w:val="ListParagraph"/>
        <w:rPr>
          <w:rFonts w:cstheme="minorHAnsi"/>
          <w:i/>
          <w:iCs/>
        </w:rPr>
      </w:pPr>
      <w:r w:rsidRPr="00DA6EFE">
        <w:rPr>
          <w:rFonts w:cstheme="minorHAnsi"/>
          <w:i/>
          <w:iCs/>
        </w:rPr>
        <w:t>The Vision is not considered to be sound as it is not justified or effective or in line with national policy.</w:t>
      </w:r>
    </w:p>
    <w:p w14:paraId="56BE7EB7" w14:textId="77777777" w:rsidR="00544321" w:rsidRPr="00544321" w:rsidRDefault="00544321" w:rsidP="007D65BC">
      <w:pPr>
        <w:pStyle w:val="ListParagraph"/>
        <w:rPr>
          <w:rFonts w:cstheme="minorHAnsi"/>
        </w:rPr>
      </w:pPr>
    </w:p>
    <w:p w14:paraId="0C22022F" w14:textId="7CB0D66C" w:rsidR="008D2A08" w:rsidRDefault="00D15404" w:rsidP="00544321">
      <w:pPr>
        <w:pStyle w:val="ListParagraph"/>
        <w:numPr>
          <w:ilvl w:val="0"/>
          <w:numId w:val="8"/>
        </w:numPr>
        <w:rPr>
          <w:rFonts w:cstheme="minorHAnsi"/>
        </w:rPr>
      </w:pPr>
      <w:r>
        <w:rPr>
          <w:rFonts w:cstheme="minorHAnsi"/>
        </w:rPr>
        <w:t xml:space="preserve">The </w:t>
      </w:r>
      <w:r w:rsidR="008D2A08">
        <w:rPr>
          <w:rFonts w:cstheme="minorHAnsi"/>
        </w:rPr>
        <w:t>Vision</w:t>
      </w:r>
      <w:r>
        <w:rPr>
          <w:rFonts w:cstheme="minorHAnsi"/>
        </w:rPr>
        <w:t xml:space="preserve"> is very long</w:t>
      </w:r>
      <w:r w:rsidR="008D2A08">
        <w:rPr>
          <w:rFonts w:cstheme="minorHAnsi"/>
        </w:rPr>
        <w:t xml:space="preserve"> and </w:t>
      </w:r>
      <w:r w:rsidR="00BC3709">
        <w:rPr>
          <w:rFonts w:cstheme="minorHAnsi"/>
        </w:rPr>
        <w:t>imprecise</w:t>
      </w:r>
      <w:r w:rsidR="008D2A08">
        <w:rPr>
          <w:rFonts w:cstheme="minorHAnsi"/>
        </w:rPr>
        <w:t xml:space="preserve">, similarly the </w:t>
      </w:r>
      <w:r w:rsidR="00BC3709">
        <w:rPr>
          <w:rFonts w:cstheme="minorHAnsi"/>
        </w:rPr>
        <w:t xml:space="preserve">Plan’s </w:t>
      </w:r>
      <w:r w:rsidR="008D2A08">
        <w:rPr>
          <w:rFonts w:cstheme="minorHAnsi"/>
        </w:rPr>
        <w:t>objectives are very numerous</w:t>
      </w:r>
      <w:r w:rsidR="00BC3709">
        <w:rPr>
          <w:rFonts w:cstheme="minorHAnsi"/>
        </w:rPr>
        <w:t>.  HBF q</w:t>
      </w:r>
      <w:r w:rsidR="008D2A08">
        <w:rPr>
          <w:rFonts w:cstheme="minorHAnsi"/>
        </w:rPr>
        <w:t>uestion if th</w:t>
      </w:r>
      <w:r w:rsidR="00BC3709">
        <w:rPr>
          <w:rFonts w:cstheme="minorHAnsi"/>
        </w:rPr>
        <w:t>is is effective</w:t>
      </w:r>
      <w:r w:rsidR="008D2A08">
        <w:rPr>
          <w:rFonts w:cstheme="minorHAnsi"/>
        </w:rPr>
        <w:t>.</w:t>
      </w:r>
    </w:p>
    <w:p w14:paraId="00564366" w14:textId="77777777" w:rsidR="008D2A08" w:rsidRDefault="008D2A08" w:rsidP="00BC3709">
      <w:pPr>
        <w:pStyle w:val="ListParagraph"/>
        <w:rPr>
          <w:rFonts w:cstheme="minorHAnsi"/>
        </w:rPr>
      </w:pPr>
    </w:p>
    <w:p w14:paraId="65100F9D" w14:textId="0FBA7CE6" w:rsidR="00544321" w:rsidRPr="00544321" w:rsidRDefault="00DA6EFE" w:rsidP="00544321">
      <w:pPr>
        <w:pStyle w:val="ListParagraph"/>
        <w:numPr>
          <w:ilvl w:val="0"/>
          <w:numId w:val="8"/>
        </w:numPr>
        <w:rPr>
          <w:rFonts w:cstheme="minorHAnsi"/>
        </w:rPr>
      </w:pPr>
      <w:r>
        <w:rPr>
          <w:rFonts w:cstheme="minorHAnsi"/>
        </w:rPr>
        <w:t xml:space="preserve">Although </w:t>
      </w:r>
      <w:r w:rsidR="00544321" w:rsidRPr="00544321">
        <w:rPr>
          <w:rFonts w:cstheme="minorHAnsi"/>
        </w:rPr>
        <w:t xml:space="preserve">HBF support has supports the need for the Vision for Sandwell to include reference to the need for new homes to meet housing need, as included within Ambition 7 </w:t>
      </w:r>
      <w:r>
        <w:rPr>
          <w:rFonts w:cstheme="minorHAnsi"/>
        </w:rPr>
        <w:t xml:space="preserve">we suggest </w:t>
      </w:r>
      <w:r w:rsidR="00544321" w:rsidRPr="00544321">
        <w:rPr>
          <w:rFonts w:cstheme="minorHAnsi"/>
        </w:rPr>
        <w:t>this should be amended to be more explicit about the requirement to meet the development needs of the area.  HBF would suggest that both the Vision and Objective Six should be more explicit about the need to plan for both open market and affordable housing to meet housing needs and support the Council’s growth aspirations.</w:t>
      </w:r>
    </w:p>
    <w:p w14:paraId="4BEB4D3C" w14:textId="77777777" w:rsidR="00E764D5" w:rsidRDefault="00E764D5" w:rsidP="00E764D5">
      <w:pPr>
        <w:pStyle w:val="ListParagraph"/>
        <w:rPr>
          <w:rFonts w:cstheme="minorHAnsi"/>
        </w:rPr>
      </w:pPr>
    </w:p>
    <w:p w14:paraId="72322D36" w14:textId="40EFB9F5" w:rsidR="00C50D7C" w:rsidRPr="00DC0B66" w:rsidRDefault="00C50D7C" w:rsidP="009443C9">
      <w:pPr>
        <w:pStyle w:val="ListParagraph"/>
        <w:spacing w:line="276" w:lineRule="auto"/>
        <w:rPr>
          <w:b/>
          <w:bCs/>
          <w:u w:val="single"/>
        </w:rPr>
      </w:pPr>
      <w:r w:rsidRPr="00DC0B66">
        <w:rPr>
          <w:b/>
          <w:bCs/>
          <w:u w:val="single"/>
        </w:rPr>
        <w:t>Planning for Sustainable Development</w:t>
      </w:r>
    </w:p>
    <w:p w14:paraId="59D585EF" w14:textId="77777777" w:rsidR="00C50D7C" w:rsidRDefault="00C50D7C" w:rsidP="009443C9">
      <w:pPr>
        <w:pStyle w:val="ListParagraph"/>
        <w:spacing w:line="276" w:lineRule="auto"/>
        <w:rPr>
          <w:b/>
          <w:bCs/>
        </w:rPr>
      </w:pPr>
    </w:p>
    <w:p w14:paraId="5C5FC4E6" w14:textId="0C7162D2" w:rsidR="009443C9" w:rsidRDefault="009443C9" w:rsidP="009443C9">
      <w:pPr>
        <w:pStyle w:val="ListParagraph"/>
        <w:spacing w:line="276" w:lineRule="auto"/>
        <w:rPr>
          <w:b/>
          <w:bCs/>
        </w:rPr>
      </w:pPr>
      <w:r w:rsidRPr="00DA66B8">
        <w:rPr>
          <w:b/>
          <w:bCs/>
        </w:rPr>
        <w:t>Policy S</w:t>
      </w:r>
      <w:r>
        <w:rPr>
          <w:b/>
          <w:bCs/>
        </w:rPr>
        <w:t>D</w:t>
      </w:r>
      <w:r w:rsidRPr="00DA66B8">
        <w:rPr>
          <w:b/>
          <w:bCs/>
        </w:rPr>
        <w:t>1</w:t>
      </w:r>
      <w:r>
        <w:rPr>
          <w:b/>
          <w:bCs/>
        </w:rPr>
        <w:t xml:space="preserve">: Overall </w:t>
      </w:r>
      <w:r w:rsidRPr="00DA66B8">
        <w:rPr>
          <w:b/>
          <w:bCs/>
        </w:rPr>
        <w:t xml:space="preserve">Development </w:t>
      </w:r>
      <w:r>
        <w:rPr>
          <w:b/>
          <w:bCs/>
        </w:rPr>
        <w:t>Strategy</w:t>
      </w:r>
    </w:p>
    <w:p w14:paraId="61119B45" w14:textId="77777777" w:rsidR="009443C9" w:rsidRDefault="009443C9" w:rsidP="009443C9">
      <w:pPr>
        <w:pStyle w:val="ListParagraph"/>
        <w:spacing w:line="276" w:lineRule="auto"/>
        <w:rPr>
          <w:b/>
          <w:bCs/>
        </w:rPr>
      </w:pPr>
    </w:p>
    <w:p w14:paraId="43BDA240" w14:textId="743D06A7" w:rsidR="009443C9" w:rsidRPr="0020143C" w:rsidRDefault="009443C9" w:rsidP="0020143C">
      <w:pPr>
        <w:pStyle w:val="ListParagraph"/>
        <w:spacing w:line="276" w:lineRule="auto"/>
        <w:rPr>
          <w:i/>
          <w:iCs/>
        </w:rPr>
      </w:pPr>
      <w:bookmarkStart w:id="0" w:name="_Hlk165458985"/>
      <w:r w:rsidRPr="0020143C">
        <w:rPr>
          <w:i/>
          <w:iCs/>
        </w:rPr>
        <w:t>The Policy is not considered to be sound as it is not justified or effective or in line with national policy.</w:t>
      </w:r>
    </w:p>
    <w:p w14:paraId="38D5C2BB" w14:textId="77777777" w:rsidR="0020143C" w:rsidRPr="00F36CF7" w:rsidRDefault="0020143C" w:rsidP="0020143C">
      <w:pPr>
        <w:pStyle w:val="ListParagraph"/>
        <w:spacing w:line="276" w:lineRule="auto"/>
        <w:rPr>
          <w:b/>
          <w:bCs/>
          <w:i/>
          <w:iCs/>
        </w:rPr>
      </w:pPr>
    </w:p>
    <w:bookmarkEnd w:id="0"/>
    <w:p w14:paraId="172BFD7D" w14:textId="16261C76" w:rsidR="00203A4A" w:rsidRDefault="00203A4A" w:rsidP="00203A4A">
      <w:pPr>
        <w:pStyle w:val="ListParagraph"/>
        <w:spacing w:line="276" w:lineRule="auto"/>
        <w:rPr>
          <w:rFonts w:ascii="Arial" w:hAnsi="Arial" w:cs="Arial"/>
          <w:u w:val="single"/>
        </w:rPr>
      </w:pPr>
      <w:r w:rsidRPr="00203A4A">
        <w:rPr>
          <w:rFonts w:ascii="Arial" w:hAnsi="Arial" w:cs="Arial"/>
          <w:u w:val="single"/>
        </w:rPr>
        <w:t>Housing Requirement- dpa and total</w:t>
      </w:r>
    </w:p>
    <w:p w14:paraId="39C60BAC" w14:textId="77777777" w:rsidR="00D74723" w:rsidRPr="00203A4A" w:rsidRDefault="00D74723" w:rsidP="00203A4A">
      <w:pPr>
        <w:pStyle w:val="ListParagraph"/>
        <w:spacing w:line="276" w:lineRule="auto"/>
        <w:rPr>
          <w:rFonts w:ascii="Arial" w:hAnsi="Arial" w:cs="Arial"/>
          <w:u w:val="single"/>
        </w:rPr>
      </w:pPr>
    </w:p>
    <w:p w14:paraId="536147F1" w14:textId="77777777" w:rsidR="00B52628" w:rsidRDefault="00817071" w:rsidP="00817071">
      <w:pPr>
        <w:pStyle w:val="ListParagraph"/>
        <w:numPr>
          <w:ilvl w:val="0"/>
          <w:numId w:val="8"/>
        </w:numPr>
        <w:rPr>
          <w:rFonts w:ascii="Arial" w:hAnsi="Arial" w:cs="Arial"/>
        </w:rPr>
      </w:pPr>
      <w:r w:rsidRPr="00817071">
        <w:rPr>
          <w:rFonts w:ascii="Arial" w:hAnsi="Arial" w:cs="Arial"/>
        </w:rPr>
        <w:t xml:space="preserve">The </w:t>
      </w:r>
      <w:r w:rsidR="00113AC0">
        <w:rPr>
          <w:rFonts w:ascii="Arial" w:hAnsi="Arial" w:cs="Arial"/>
        </w:rPr>
        <w:t xml:space="preserve">Reg 18 version of the </w:t>
      </w:r>
      <w:r w:rsidRPr="00817071">
        <w:rPr>
          <w:rFonts w:ascii="Arial" w:hAnsi="Arial" w:cs="Arial"/>
        </w:rPr>
        <w:t>Plan propose</w:t>
      </w:r>
      <w:r w:rsidR="00113AC0">
        <w:rPr>
          <w:rFonts w:ascii="Arial" w:hAnsi="Arial" w:cs="Arial"/>
        </w:rPr>
        <w:t xml:space="preserve">d at </w:t>
      </w:r>
      <w:r w:rsidRPr="00817071">
        <w:rPr>
          <w:rFonts w:ascii="Arial" w:hAnsi="Arial" w:cs="Arial"/>
        </w:rPr>
        <w:t>least 11,167 net new homes and at least 1,206ha of employment land (of which 29ha is currently vacant</w:t>
      </w:r>
      <w:r w:rsidR="006B705B">
        <w:rPr>
          <w:rFonts w:ascii="Arial" w:hAnsi="Arial" w:cs="Arial"/>
        </w:rPr>
        <w:t xml:space="preserve">). The </w:t>
      </w:r>
      <w:r w:rsidR="006B705B">
        <w:rPr>
          <w:rFonts w:ascii="Arial" w:hAnsi="Arial" w:cs="Arial"/>
        </w:rPr>
        <w:lastRenderedPageBreak/>
        <w:t>Re</w:t>
      </w:r>
      <w:r w:rsidR="00404331">
        <w:rPr>
          <w:rFonts w:ascii="Arial" w:hAnsi="Arial" w:cs="Arial"/>
        </w:rPr>
        <w:t xml:space="preserve">g 19 version of the Plan reduces the Housing </w:t>
      </w:r>
      <w:r w:rsidR="00054028">
        <w:rPr>
          <w:rFonts w:ascii="Arial" w:hAnsi="Arial" w:cs="Arial"/>
        </w:rPr>
        <w:t>Requirements</w:t>
      </w:r>
      <w:r w:rsidR="00404331">
        <w:rPr>
          <w:rFonts w:ascii="Arial" w:hAnsi="Arial" w:cs="Arial"/>
        </w:rPr>
        <w:t xml:space="preserve"> to 10</w:t>
      </w:r>
      <w:r w:rsidR="00B52628">
        <w:rPr>
          <w:rFonts w:ascii="Arial" w:hAnsi="Arial" w:cs="Arial"/>
        </w:rPr>
        <w:t>,</w:t>
      </w:r>
      <w:r w:rsidR="00404331">
        <w:rPr>
          <w:rFonts w:ascii="Arial" w:hAnsi="Arial" w:cs="Arial"/>
        </w:rPr>
        <w:t xml:space="preserve">434 net new homes. </w:t>
      </w:r>
    </w:p>
    <w:p w14:paraId="067478CD" w14:textId="77777777" w:rsidR="00B52628" w:rsidRDefault="00B52628" w:rsidP="00F818B2">
      <w:pPr>
        <w:pStyle w:val="ListParagraph"/>
        <w:rPr>
          <w:rFonts w:ascii="Arial" w:hAnsi="Arial" w:cs="Arial"/>
        </w:rPr>
      </w:pPr>
    </w:p>
    <w:p w14:paraId="0AA4D354" w14:textId="77777777" w:rsidR="00492DAB" w:rsidRDefault="00817071" w:rsidP="00492DAB">
      <w:pPr>
        <w:pStyle w:val="ListParagraph"/>
        <w:numPr>
          <w:ilvl w:val="0"/>
          <w:numId w:val="8"/>
        </w:numPr>
        <w:rPr>
          <w:rFonts w:ascii="Arial" w:hAnsi="Arial" w:cs="Arial"/>
        </w:rPr>
      </w:pPr>
      <w:r w:rsidRPr="00817071">
        <w:rPr>
          <w:rFonts w:ascii="Arial" w:hAnsi="Arial" w:cs="Arial"/>
        </w:rPr>
        <w:t>It is noted that paragraph 2.6 explains that “There is still, despite the number of housing sites that have been identified and allocated, a shortfall in the numbers of houses that need to be built to meet identified needs. Housing need is calculated using the Government’s standard method based on household growth projections.</w:t>
      </w:r>
    </w:p>
    <w:p w14:paraId="704BE96C" w14:textId="77777777" w:rsidR="00492DAB" w:rsidRDefault="00492DAB" w:rsidP="00492DAB">
      <w:pPr>
        <w:pStyle w:val="ListParagraph"/>
      </w:pPr>
    </w:p>
    <w:p w14:paraId="6B071BDE" w14:textId="56046DCA" w:rsidR="00492DAB" w:rsidRPr="00492DAB" w:rsidRDefault="00492DAB" w:rsidP="00492DAB">
      <w:pPr>
        <w:pStyle w:val="ListParagraph"/>
        <w:rPr>
          <w:rFonts w:ascii="Arial" w:hAnsi="Arial" w:cs="Arial"/>
        </w:rPr>
      </w:pPr>
      <w:r w:rsidRPr="00492DAB">
        <w:rPr>
          <w:rFonts w:ascii="Arial" w:hAnsi="Arial" w:cs="Arial"/>
        </w:rPr>
        <w:t>• Sandwell needs to identify land for 26,350 homes by 2041.</w:t>
      </w:r>
    </w:p>
    <w:p w14:paraId="4158D4D4" w14:textId="09B489AA" w:rsidR="00492DAB" w:rsidRPr="00492DAB" w:rsidRDefault="00492DAB" w:rsidP="0002579C">
      <w:pPr>
        <w:pStyle w:val="ListParagraph"/>
        <w:rPr>
          <w:rFonts w:ascii="Arial" w:hAnsi="Arial" w:cs="Arial"/>
        </w:rPr>
      </w:pPr>
      <w:r w:rsidRPr="00492DAB">
        <w:rPr>
          <w:rFonts w:ascii="Arial" w:hAnsi="Arial" w:cs="Arial"/>
        </w:rPr>
        <w:t>• The supply of suitable residential land based on the most recent evidence stands at 10,434</w:t>
      </w:r>
      <w:r w:rsidR="0002579C">
        <w:rPr>
          <w:rFonts w:ascii="Arial" w:hAnsi="Arial" w:cs="Arial"/>
        </w:rPr>
        <w:t xml:space="preserve"> </w:t>
      </w:r>
      <w:r w:rsidRPr="00492DAB">
        <w:rPr>
          <w:rFonts w:ascii="Arial" w:hAnsi="Arial" w:cs="Arial"/>
        </w:rPr>
        <w:t xml:space="preserve">homes. </w:t>
      </w:r>
    </w:p>
    <w:p w14:paraId="694EC633" w14:textId="2A0E4E69" w:rsidR="00817071" w:rsidRDefault="00492DAB" w:rsidP="0002579C">
      <w:pPr>
        <w:pStyle w:val="ListParagraph"/>
        <w:rPr>
          <w:rFonts w:ascii="Arial" w:hAnsi="Arial" w:cs="Arial"/>
        </w:rPr>
      </w:pPr>
      <w:r w:rsidRPr="00492DAB">
        <w:rPr>
          <w:rFonts w:ascii="Arial" w:hAnsi="Arial" w:cs="Arial"/>
        </w:rPr>
        <w:t>• There is an unmet need for 15,916 homes.</w:t>
      </w:r>
      <w:r w:rsidR="00596857">
        <w:rPr>
          <w:rFonts w:ascii="Arial" w:hAnsi="Arial" w:cs="Arial"/>
        </w:rPr>
        <w:t>!</w:t>
      </w:r>
    </w:p>
    <w:p w14:paraId="7AB6E56E" w14:textId="77777777" w:rsidR="00F034FB" w:rsidRPr="00F034FB" w:rsidRDefault="00F034FB" w:rsidP="00F034FB">
      <w:pPr>
        <w:pStyle w:val="ListParagraph"/>
        <w:rPr>
          <w:rFonts w:ascii="Arial" w:hAnsi="Arial" w:cs="Arial"/>
        </w:rPr>
      </w:pPr>
    </w:p>
    <w:p w14:paraId="17DD865F" w14:textId="0E164209" w:rsidR="006616C6" w:rsidRPr="006616C6" w:rsidRDefault="006616C6" w:rsidP="006616C6">
      <w:pPr>
        <w:pStyle w:val="ListParagraph"/>
        <w:numPr>
          <w:ilvl w:val="0"/>
          <w:numId w:val="8"/>
        </w:numPr>
        <w:rPr>
          <w:rFonts w:ascii="Arial" w:hAnsi="Arial" w:cs="Arial"/>
        </w:rPr>
      </w:pPr>
      <w:r w:rsidRPr="006616C6">
        <w:rPr>
          <w:rFonts w:ascii="Arial" w:hAnsi="Arial" w:cs="Arial"/>
        </w:rPr>
        <w:t xml:space="preserve">This means that the council is planning only to meet </w:t>
      </w:r>
      <w:r w:rsidR="0067592B">
        <w:rPr>
          <w:rFonts w:ascii="Arial" w:hAnsi="Arial" w:cs="Arial"/>
        </w:rPr>
        <w:t>40</w:t>
      </w:r>
      <w:r w:rsidRPr="006616C6">
        <w:rPr>
          <w:rFonts w:ascii="Arial" w:hAnsi="Arial" w:cs="Arial"/>
        </w:rPr>
        <w:t>% of their proposed housing number, with 6</w:t>
      </w:r>
      <w:r w:rsidR="0067592B">
        <w:rPr>
          <w:rFonts w:ascii="Arial" w:hAnsi="Arial" w:cs="Arial"/>
        </w:rPr>
        <w:t>0</w:t>
      </w:r>
      <w:r w:rsidRPr="006616C6">
        <w:rPr>
          <w:rFonts w:ascii="Arial" w:hAnsi="Arial" w:cs="Arial"/>
        </w:rPr>
        <w:t xml:space="preserve">% not being planned for.  HBF believe the housing requirement should be higher to start with and so the percentage of unmet need would be even higher.  Even, setting this aside for now, HBF is very concerned about this proposed shortfall.  Failure to meet the housing needs of Sandwell will inhibit growth and do nothing to address the current housing crisis, with implications for the economy and population of wider region.  It will be important for the Council to clearly show how the unmet need will be met, and what they will do to ensure that it is.  However, the Council needs to first establish the appropriate housing requirement for Sandwell before considering if and how this could be met.  </w:t>
      </w:r>
    </w:p>
    <w:p w14:paraId="4E00407D" w14:textId="77777777" w:rsidR="00F034FB" w:rsidRPr="00817071" w:rsidRDefault="00F034FB" w:rsidP="00731429">
      <w:pPr>
        <w:pStyle w:val="ListParagraph"/>
        <w:rPr>
          <w:rFonts w:ascii="Arial" w:hAnsi="Arial" w:cs="Arial"/>
        </w:rPr>
      </w:pPr>
    </w:p>
    <w:p w14:paraId="44B9C3C3" w14:textId="7A657DD7" w:rsidR="008F5983" w:rsidRDefault="008F5983" w:rsidP="00003139">
      <w:pPr>
        <w:pStyle w:val="ListParagraph"/>
        <w:numPr>
          <w:ilvl w:val="0"/>
          <w:numId w:val="8"/>
        </w:numPr>
        <w:spacing w:line="276" w:lineRule="auto"/>
        <w:rPr>
          <w:rFonts w:ascii="Arial" w:hAnsi="Arial" w:cs="Arial"/>
        </w:rPr>
      </w:pPr>
      <w:r>
        <w:rPr>
          <w:rFonts w:ascii="Arial" w:hAnsi="Arial" w:cs="Arial"/>
        </w:rPr>
        <w:t xml:space="preserve">The Reg 18 </w:t>
      </w:r>
      <w:r w:rsidR="00F570E3">
        <w:rPr>
          <w:rFonts w:ascii="Arial" w:hAnsi="Arial" w:cs="Arial"/>
        </w:rPr>
        <w:t>version</w:t>
      </w:r>
      <w:r>
        <w:rPr>
          <w:rFonts w:ascii="Arial" w:hAnsi="Arial" w:cs="Arial"/>
        </w:rPr>
        <w:t xml:space="preserve"> of the Plan sought to plan for 187 ha of employment, this need has increased in the </w:t>
      </w:r>
      <w:r w:rsidR="00F570E3">
        <w:rPr>
          <w:rFonts w:ascii="Arial" w:hAnsi="Arial" w:cs="Arial"/>
        </w:rPr>
        <w:t>R</w:t>
      </w:r>
      <w:r>
        <w:rPr>
          <w:rFonts w:ascii="Arial" w:hAnsi="Arial" w:cs="Arial"/>
        </w:rPr>
        <w:t>eg 19 version</w:t>
      </w:r>
      <w:r w:rsidR="00456C8E" w:rsidRPr="00456C8E">
        <w:rPr>
          <w:rFonts w:ascii="Arial" w:hAnsi="Arial" w:cs="Arial"/>
        </w:rPr>
        <w:t xml:space="preserve"> </w:t>
      </w:r>
      <w:r w:rsidR="00456C8E">
        <w:rPr>
          <w:rFonts w:ascii="Arial" w:hAnsi="Arial" w:cs="Arial"/>
        </w:rPr>
        <w:t>para 2.14</w:t>
      </w:r>
      <w:r w:rsidR="00F570E3">
        <w:rPr>
          <w:rFonts w:ascii="Arial" w:hAnsi="Arial" w:cs="Arial"/>
        </w:rPr>
        <w:t xml:space="preserve">, as </w:t>
      </w:r>
      <w:r w:rsidR="00456C8E">
        <w:rPr>
          <w:rFonts w:ascii="Arial" w:hAnsi="Arial" w:cs="Arial"/>
        </w:rPr>
        <w:t>amended</w:t>
      </w:r>
      <w:r w:rsidR="00F570E3">
        <w:rPr>
          <w:rFonts w:ascii="Arial" w:hAnsi="Arial" w:cs="Arial"/>
        </w:rPr>
        <w:t xml:space="preserve"> by the errata </w:t>
      </w:r>
      <w:r w:rsidR="00456C8E">
        <w:rPr>
          <w:rFonts w:ascii="Arial" w:hAnsi="Arial" w:cs="Arial"/>
        </w:rPr>
        <w:t xml:space="preserve">document, </w:t>
      </w:r>
      <w:r w:rsidR="006E29DD">
        <w:rPr>
          <w:rFonts w:ascii="Arial" w:hAnsi="Arial" w:cs="Arial"/>
        </w:rPr>
        <w:t>now says:</w:t>
      </w:r>
    </w:p>
    <w:p w14:paraId="2597EC3A" w14:textId="77777777" w:rsidR="008F5983" w:rsidRPr="008F5983" w:rsidRDefault="008F5983" w:rsidP="008F5983">
      <w:pPr>
        <w:pStyle w:val="ListParagraph"/>
        <w:rPr>
          <w:rFonts w:ascii="Arial" w:hAnsi="Arial" w:cs="Arial"/>
        </w:rPr>
      </w:pPr>
    </w:p>
    <w:p w14:paraId="4966731B" w14:textId="6241CBA7" w:rsidR="00003139" w:rsidRPr="00003139" w:rsidRDefault="00596857" w:rsidP="00456C8E">
      <w:pPr>
        <w:pStyle w:val="ListParagraph"/>
        <w:spacing w:line="276" w:lineRule="auto"/>
        <w:rPr>
          <w:rFonts w:ascii="Arial" w:hAnsi="Arial" w:cs="Arial"/>
        </w:rPr>
      </w:pPr>
      <w:r>
        <w:rPr>
          <w:rFonts w:ascii="Arial" w:hAnsi="Arial" w:cs="Arial"/>
        </w:rPr>
        <w:t>“</w:t>
      </w:r>
      <w:r w:rsidR="00003139" w:rsidRPr="00003139">
        <w:rPr>
          <w:rFonts w:ascii="Arial" w:hAnsi="Arial" w:cs="Arial"/>
        </w:rPr>
        <w:t xml:space="preserve">Employment land need is based on economic forecasts in the EDNA up to 2041. </w:t>
      </w:r>
    </w:p>
    <w:p w14:paraId="7A5ABE7A" w14:textId="46030061" w:rsidR="00003139" w:rsidRPr="00003139" w:rsidRDefault="00003139" w:rsidP="00596857">
      <w:pPr>
        <w:pStyle w:val="ListParagraph"/>
        <w:spacing w:line="276" w:lineRule="auto"/>
        <w:rPr>
          <w:rFonts w:ascii="Arial" w:hAnsi="Arial" w:cs="Arial"/>
        </w:rPr>
      </w:pPr>
      <w:r w:rsidRPr="00003139">
        <w:rPr>
          <w:rFonts w:ascii="Arial" w:hAnsi="Arial" w:cs="Arial"/>
        </w:rPr>
        <w:t>• Sandwell is subject to a demand for 21</w:t>
      </w:r>
      <w:r w:rsidR="00596857">
        <w:rPr>
          <w:rFonts w:ascii="Arial" w:hAnsi="Arial" w:cs="Arial"/>
        </w:rPr>
        <w:t>2</w:t>
      </w:r>
      <w:r w:rsidRPr="00003139">
        <w:rPr>
          <w:rFonts w:ascii="Arial" w:hAnsi="Arial" w:cs="Arial"/>
        </w:rPr>
        <w:t>ha of employment land.</w:t>
      </w:r>
    </w:p>
    <w:p w14:paraId="211A4632" w14:textId="43389EDB" w:rsidR="00003139" w:rsidRPr="00003139" w:rsidRDefault="00003139" w:rsidP="0053051E">
      <w:pPr>
        <w:pStyle w:val="ListParagraph"/>
        <w:spacing w:line="276" w:lineRule="auto"/>
        <w:rPr>
          <w:rFonts w:ascii="Arial" w:hAnsi="Arial" w:cs="Arial"/>
        </w:rPr>
      </w:pPr>
      <w:r w:rsidRPr="00003139">
        <w:rPr>
          <w:rFonts w:ascii="Arial" w:hAnsi="Arial" w:cs="Arial"/>
        </w:rPr>
        <w:t>• The current supply of land available and suitable for employment use is 42ha (after completions between 2020 – 2022 are considered). This includes windfall supply, generated through</w:t>
      </w:r>
      <w:r w:rsidR="0053051E">
        <w:rPr>
          <w:rFonts w:ascii="Arial" w:hAnsi="Arial" w:cs="Arial"/>
        </w:rPr>
        <w:t xml:space="preserve"> </w:t>
      </w:r>
      <w:r w:rsidRPr="00003139">
        <w:rPr>
          <w:rFonts w:ascii="Arial" w:hAnsi="Arial" w:cs="Arial"/>
        </w:rPr>
        <w:t xml:space="preserve">intensification / recycling, </w:t>
      </w:r>
      <w:proofErr w:type="gramStart"/>
      <w:r w:rsidRPr="00003139">
        <w:rPr>
          <w:rFonts w:ascii="Arial" w:hAnsi="Arial" w:cs="Arial"/>
        </w:rPr>
        <w:t>and also</w:t>
      </w:r>
      <w:proofErr w:type="gramEnd"/>
      <w:r w:rsidRPr="00003139">
        <w:rPr>
          <w:rFonts w:ascii="Arial" w:hAnsi="Arial" w:cs="Arial"/>
        </w:rPr>
        <w:t xml:space="preserve"> includes a vacant land supply of 28ha (sites identified under </w:t>
      </w:r>
    </w:p>
    <w:p w14:paraId="0803A62A" w14:textId="77777777" w:rsidR="00003139" w:rsidRPr="00003139" w:rsidRDefault="00003139" w:rsidP="0053051E">
      <w:pPr>
        <w:pStyle w:val="ListParagraph"/>
        <w:spacing w:line="276" w:lineRule="auto"/>
        <w:rPr>
          <w:rFonts w:ascii="Arial" w:hAnsi="Arial" w:cs="Arial"/>
        </w:rPr>
      </w:pPr>
      <w:r w:rsidRPr="00003139">
        <w:rPr>
          <w:rFonts w:ascii="Arial" w:hAnsi="Arial" w:cs="Arial"/>
        </w:rPr>
        <w:t>Policy SEC1).</w:t>
      </w:r>
    </w:p>
    <w:p w14:paraId="0F0A3D00" w14:textId="2C161D52" w:rsidR="00003139" w:rsidRPr="00003139" w:rsidRDefault="00003139" w:rsidP="0053051E">
      <w:pPr>
        <w:pStyle w:val="ListParagraph"/>
        <w:spacing w:line="276" w:lineRule="auto"/>
        <w:rPr>
          <w:rFonts w:ascii="Arial" w:hAnsi="Arial" w:cs="Arial"/>
        </w:rPr>
      </w:pPr>
      <w:r w:rsidRPr="00003139">
        <w:rPr>
          <w:rFonts w:ascii="Arial" w:hAnsi="Arial" w:cs="Arial"/>
        </w:rPr>
        <w:t>• Based on the amount of land required to grow the economy, there is a shortfall of around 1</w:t>
      </w:r>
      <w:r w:rsidR="0053051E">
        <w:rPr>
          <w:rFonts w:ascii="Arial" w:hAnsi="Arial" w:cs="Arial"/>
        </w:rPr>
        <w:t>70</w:t>
      </w:r>
      <w:r w:rsidRPr="00003139">
        <w:rPr>
          <w:rFonts w:ascii="Arial" w:hAnsi="Arial" w:cs="Arial"/>
        </w:rPr>
        <w:t>ha.</w:t>
      </w:r>
    </w:p>
    <w:p w14:paraId="2E5FBC37" w14:textId="3ED51731" w:rsidR="00817071" w:rsidRDefault="00003139" w:rsidP="0053051E">
      <w:pPr>
        <w:pStyle w:val="ListParagraph"/>
        <w:spacing w:line="276" w:lineRule="auto"/>
        <w:rPr>
          <w:rFonts w:ascii="Arial" w:hAnsi="Arial" w:cs="Arial"/>
        </w:rPr>
      </w:pPr>
      <w:r w:rsidRPr="00003139">
        <w:rPr>
          <w:rFonts w:ascii="Arial" w:hAnsi="Arial" w:cs="Arial"/>
        </w:rPr>
        <w:t xml:space="preserve">• In addition, the plan allocates / retains 1,193ha of existing occupied employment as strategic, </w:t>
      </w:r>
      <w:proofErr w:type="gramStart"/>
      <w:r w:rsidRPr="00003139">
        <w:rPr>
          <w:rFonts w:ascii="Arial" w:hAnsi="Arial" w:cs="Arial"/>
        </w:rPr>
        <w:t>local</w:t>
      </w:r>
      <w:proofErr w:type="gramEnd"/>
      <w:r w:rsidRPr="00003139">
        <w:rPr>
          <w:rFonts w:ascii="Arial" w:hAnsi="Arial" w:cs="Arial"/>
        </w:rPr>
        <w:t xml:space="preserve"> or other employment land.</w:t>
      </w:r>
    </w:p>
    <w:p w14:paraId="0590BE4C" w14:textId="77777777" w:rsidR="00623F5F" w:rsidRDefault="00623F5F" w:rsidP="0053051E">
      <w:pPr>
        <w:pStyle w:val="ListParagraph"/>
        <w:spacing w:line="276" w:lineRule="auto"/>
        <w:rPr>
          <w:rFonts w:ascii="Arial" w:hAnsi="Arial" w:cs="Arial"/>
        </w:rPr>
      </w:pPr>
    </w:p>
    <w:p w14:paraId="4EB82FC7" w14:textId="77777777" w:rsidR="007F59B4" w:rsidRDefault="007F59B4" w:rsidP="007F59B4">
      <w:pPr>
        <w:pStyle w:val="ListParagraph"/>
        <w:numPr>
          <w:ilvl w:val="0"/>
          <w:numId w:val="8"/>
        </w:numPr>
        <w:rPr>
          <w:rFonts w:ascii="Arial" w:hAnsi="Arial" w:cs="Arial"/>
        </w:rPr>
      </w:pPr>
      <w:r w:rsidRPr="007F59B4">
        <w:rPr>
          <w:rFonts w:ascii="Arial" w:hAnsi="Arial" w:cs="Arial"/>
        </w:rPr>
        <w:t>HBF notes that the Plan therefore proposes not only significant unmet housing need but also a significant unmet employment need.  This would further constrain the ambitions for Growth in Sandwell, and the wider region.  HBF suggest these circumstances warrant a full Green Belt review and the allocation of sites to meet the housing and employment requirements of the Borough even if these are within the current Green Belt.</w:t>
      </w:r>
    </w:p>
    <w:p w14:paraId="64D0DA0D" w14:textId="77777777" w:rsidR="006C062A" w:rsidRDefault="006C062A" w:rsidP="006C062A">
      <w:pPr>
        <w:pStyle w:val="ListParagraph"/>
        <w:numPr>
          <w:ilvl w:val="0"/>
          <w:numId w:val="8"/>
        </w:numPr>
        <w:rPr>
          <w:rFonts w:ascii="Arial" w:hAnsi="Arial" w:cs="Arial"/>
        </w:rPr>
      </w:pPr>
      <w:r w:rsidRPr="006C062A">
        <w:rPr>
          <w:rFonts w:ascii="Arial" w:hAnsi="Arial" w:cs="Arial"/>
        </w:rPr>
        <w:lastRenderedPageBreak/>
        <w:t xml:space="preserve">With regards the housing requirement itself, HBF strongly support the need for more housing in the Sandwell Local Plan for a variety of reasons including addressing the current housing crisis, meeting housing need, providing affordable </w:t>
      </w:r>
      <w:proofErr w:type="gramStart"/>
      <w:r w:rsidRPr="006C062A">
        <w:rPr>
          <w:rFonts w:ascii="Arial" w:hAnsi="Arial" w:cs="Arial"/>
        </w:rPr>
        <w:t>housing</w:t>
      </w:r>
      <w:proofErr w:type="gramEnd"/>
      <w:r w:rsidRPr="006C062A">
        <w:rPr>
          <w:rFonts w:ascii="Arial" w:hAnsi="Arial" w:cs="Arial"/>
        </w:rPr>
        <w:t xml:space="preserve"> and supporting employment growth.  HBF would request that the Council considers the annual LHN as only the minimum starting point and fully considers all of the issues that may result in a need for a higher housing requirement, including the need to provide a range and choice of sites, the need for flexibility, viability considerations and whether higher levels of open-market housing are required in order to secure increased delivery of affordable housing.  </w:t>
      </w:r>
    </w:p>
    <w:p w14:paraId="64A13AB9" w14:textId="77777777" w:rsidR="001F50FD" w:rsidRPr="006C062A" w:rsidRDefault="001F50FD" w:rsidP="001F50FD">
      <w:pPr>
        <w:pStyle w:val="ListParagraph"/>
        <w:rPr>
          <w:rFonts w:ascii="Arial" w:hAnsi="Arial" w:cs="Arial"/>
        </w:rPr>
      </w:pPr>
    </w:p>
    <w:p w14:paraId="0DBA9876" w14:textId="77777777" w:rsidR="001F50FD" w:rsidRPr="001F50FD" w:rsidRDefault="001F50FD" w:rsidP="001F50FD">
      <w:pPr>
        <w:pStyle w:val="ListParagraph"/>
        <w:numPr>
          <w:ilvl w:val="0"/>
          <w:numId w:val="8"/>
        </w:numPr>
        <w:rPr>
          <w:rFonts w:ascii="Arial" w:hAnsi="Arial" w:cs="Arial"/>
        </w:rPr>
      </w:pPr>
      <w:r w:rsidRPr="001F50FD">
        <w:rPr>
          <w:rFonts w:ascii="Arial" w:hAnsi="Arial" w:cs="Arial"/>
        </w:rPr>
        <w:t xml:space="preserve">Paragraph 22 of the NPPF requires that strategic policies should look ahead over a minimum 15-year period from adoption.  HBF note that the current plan period is to 2041 but would still question if the plan period is long enough to cover this requirement.  This Reg 18 consultation closes at the end of 2023 and then the representations need to be considered an analysed, a submission plan prepared and consulted, examination, main modifications consultation, inspectors report and adoption by the Council.  </w:t>
      </w:r>
    </w:p>
    <w:p w14:paraId="4A77A5BB" w14:textId="77777777" w:rsidR="001F50FD" w:rsidRPr="001F50FD" w:rsidRDefault="001F50FD" w:rsidP="001F50FD">
      <w:pPr>
        <w:pStyle w:val="ListParagraph"/>
        <w:rPr>
          <w:rFonts w:ascii="Arial" w:hAnsi="Arial" w:cs="Arial"/>
        </w:rPr>
      </w:pPr>
    </w:p>
    <w:p w14:paraId="6B1DDFFB" w14:textId="77777777" w:rsidR="001F50FD" w:rsidRDefault="001F50FD" w:rsidP="001F50FD">
      <w:pPr>
        <w:pStyle w:val="ListParagraph"/>
        <w:numPr>
          <w:ilvl w:val="0"/>
          <w:numId w:val="8"/>
        </w:numPr>
        <w:rPr>
          <w:rFonts w:ascii="Arial" w:hAnsi="Arial" w:cs="Arial"/>
        </w:rPr>
      </w:pPr>
      <w:r w:rsidRPr="001F50FD">
        <w:rPr>
          <w:rFonts w:ascii="Arial" w:hAnsi="Arial" w:cs="Arial"/>
        </w:rPr>
        <w:t xml:space="preserve">HBF suggest that the plan-making process may take some time, especially if additional Green Belt release is needed, and suggest that the plan period could be extended now, especially as this would require an update to the evidence base as is important for the evidence base to be consistent with the Plan Period.  Extending the plan period would also require an increase to the housing requirement to cover the additional years, and consequential additional housing supply.  </w:t>
      </w:r>
    </w:p>
    <w:p w14:paraId="03B4A288" w14:textId="77777777" w:rsidR="00B82DCB" w:rsidRPr="00B82DCB" w:rsidRDefault="00B82DCB" w:rsidP="00B82DCB">
      <w:pPr>
        <w:pStyle w:val="ListParagraph"/>
        <w:rPr>
          <w:rFonts w:ascii="Arial" w:hAnsi="Arial" w:cs="Arial"/>
        </w:rPr>
      </w:pPr>
    </w:p>
    <w:p w14:paraId="5A4AD405" w14:textId="77777777" w:rsidR="00B82DCB" w:rsidRPr="001F50FD" w:rsidRDefault="00B82DCB" w:rsidP="00B82DCB">
      <w:pPr>
        <w:pStyle w:val="ListParagraph"/>
        <w:rPr>
          <w:rFonts w:ascii="Arial" w:hAnsi="Arial" w:cs="Arial"/>
        </w:rPr>
      </w:pPr>
    </w:p>
    <w:p w14:paraId="7A385B1A" w14:textId="49DEDB74" w:rsidR="00B82DCB" w:rsidRDefault="00B82DCB" w:rsidP="00B82DCB">
      <w:pPr>
        <w:pStyle w:val="ListParagraph"/>
        <w:numPr>
          <w:ilvl w:val="0"/>
          <w:numId w:val="8"/>
        </w:numPr>
        <w:rPr>
          <w:rFonts w:ascii="Arial" w:hAnsi="Arial" w:cs="Arial"/>
        </w:rPr>
      </w:pPr>
      <w:r w:rsidRPr="00B82DCB">
        <w:rPr>
          <w:rFonts w:ascii="Arial" w:hAnsi="Arial" w:cs="Arial"/>
        </w:rPr>
        <w:t>The Government</w:t>
      </w:r>
      <w:r>
        <w:rPr>
          <w:rFonts w:ascii="Arial" w:hAnsi="Arial" w:cs="Arial"/>
        </w:rPr>
        <w:t xml:space="preserve">’s commitment to 1.5 million homes over the next five years has seen </w:t>
      </w:r>
      <w:r w:rsidR="004F5918">
        <w:rPr>
          <w:rFonts w:ascii="Arial" w:hAnsi="Arial" w:cs="Arial"/>
        </w:rPr>
        <w:t xml:space="preserve">ambitions to plan for 370,00 per year </w:t>
      </w:r>
      <w:proofErr w:type="gramStart"/>
      <w:r w:rsidR="004F5918">
        <w:rPr>
          <w:rFonts w:ascii="Arial" w:hAnsi="Arial" w:cs="Arial"/>
        </w:rPr>
        <w:t>in order to</w:t>
      </w:r>
      <w:proofErr w:type="gramEnd"/>
      <w:r w:rsidR="004F5918">
        <w:rPr>
          <w:rFonts w:ascii="Arial" w:hAnsi="Arial" w:cs="Arial"/>
        </w:rPr>
        <w:t xml:space="preserve"> </w:t>
      </w:r>
      <w:r w:rsidR="00D274B0">
        <w:rPr>
          <w:rFonts w:ascii="Arial" w:hAnsi="Arial" w:cs="Arial"/>
        </w:rPr>
        <w:t xml:space="preserve">deliver the </w:t>
      </w:r>
      <w:r w:rsidR="00D274B0" w:rsidRPr="00B82DCB">
        <w:rPr>
          <w:rFonts w:ascii="Arial" w:hAnsi="Arial" w:cs="Arial"/>
        </w:rPr>
        <w:t>national target of 300,000 new homes per year.</w:t>
      </w:r>
      <w:r w:rsidR="00D274B0">
        <w:rPr>
          <w:rFonts w:ascii="Arial" w:hAnsi="Arial" w:cs="Arial"/>
        </w:rPr>
        <w:t xml:space="preserve">  HBF note that t</w:t>
      </w:r>
      <w:r w:rsidRPr="00B82DCB">
        <w:rPr>
          <w:rFonts w:ascii="Arial" w:hAnsi="Arial" w:cs="Arial"/>
        </w:rPr>
        <w:t xml:space="preserve">he standard method housing requirement has always been the minimum starting point for setting the housing requirement, and HBF support more housing than the standard method housing requirement </w:t>
      </w:r>
      <w:proofErr w:type="gramStart"/>
      <w:r w:rsidRPr="00B82DCB">
        <w:rPr>
          <w:rFonts w:ascii="Arial" w:hAnsi="Arial" w:cs="Arial"/>
        </w:rPr>
        <w:t>in order to</w:t>
      </w:r>
      <w:proofErr w:type="gramEnd"/>
      <w:r w:rsidRPr="00B82DCB">
        <w:rPr>
          <w:rFonts w:ascii="Arial" w:hAnsi="Arial" w:cs="Arial"/>
        </w:rPr>
        <w:t xml:space="preserve"> support economic growth, provide a range and type of sites and to support small and medium house builders.   </w:t>
      </w:r>
    </w:p>
    <w:p w14:paraId="4987310C" w14:textId="77777777" w:rsidR="00FE3ABE" w:rsidRPr="00B82DCB" w:rsidRDefault="00FE3ABE" w:rsidP="00FE3ABE">
      <w:pPr>
        <w:pStyle w:val="ListParagraph"/>
        <w:rPr>
          <w:rFonts w:ascii="Arial" w:hAnsi="Arial" w:cs="Arial"/>
        </w:rPr>
      </w:pPr>
    </w:p>
    <w:p w14:paraId="79A9F9A4" w14:textId="77777777" w:rsidR="00FE3ABE" w:rsidRPr="00FE3ABE" w:rsidRDefault="00FE3ABE" w:rsidP="00FE3ABE">
      <w:pPr>
        <w:pStyle w:val="ListParagraph"/>
        <w:numPr>
          <w:ilvl w:val="0"/>
          <w:numId w:val="8"/>
        </w:numPr>
        <w:rPr>
          <w:rFonts w:ascii="Arial" w:hAnsi="Arial" w:cs="Arial"/>
        </w:rPr>
      </w:pPr>
      <w:r w:rsidRPr="00FE3ABE">
        <w:rPr>
          <w:rFonts w:ascii="Arial" w:hAnsi="Arial" w:cs="Arial"/>
        </w:rPr>
        <w:t>HBF suggest that each of these reasons on its own could justify an increase in the housing requirement for Sandwell and the Council should consider planning for an additional amount of housing to address each reason in turn.   However, as previously mentioned it is important that the housing requirement is established, before any consideration is given to any issues around housing land supply, or lack thereof.</w:t>
      </w:r>
    </w:p>
    <w:p w14:paraId="08DAFE25" w14:textId="77777777" w:rsidR="00FE3ABE" w:rsidRPr="00FE3ABE" w:rsidRDefault="00FE3ABE" w:rsidP="00FE3ABE">
      <w:pPr>
        <w:pStyle w:val="ListParagraph"/>
        <w:rPr>
          <w:rFonts w:ascii="Arial" w:hAnsi="Arial" w:cs="Arial"/>
        </w:rPr>
      </w:pPr>
    </w:p>
    <w:p w14:paraId="545484C4" w14:textId="77777777" w:rsidR="00FE3ABE" w:rsidRPr="00FE3ABE" w:rsidRDefault="00FE3ABE" w:rsidP="00FE3ABE">
      <w:pPr>
        <w:pStyle w:val="ListParagraph"/>
        <w:numPr>
          <w:ilvl w:val="0"/>
          <w:numId w:val="8"/>
        </w:numPr>
        <w:rPr>
          <w:rFonts w:ascii="Arial" w:hAnsi="Arial" w:cs="Arial"/>
        </w:rPr>
      </w:pPr>
      <w:r w:rsidRPr="00FE3ABE">
        <w:rPr>
          <w:rFonts w:ascii="Arial" w:hAnsi="Arial" w:cs="Arial"/>
        </w:rPr>
        <w:t xml:space="preserve">The plan-led system requires Council to proactively plan to meet the needs of their community.  This means that there is a need to provide a range and choice of sites, a need for flexibility and viability considerations to be </w:t>
      </w:r>
      <w:proofErr w:type="gramStart"/>
      <w:r w:rsidRPr="00FE3ABE">
        <w:rPr>
          <w:rFonts w:ascii="Arial" w:hAnsi="Arial" w:cs="Arial"/>
        </w:rPr>
        <w:t>taken into account</w:t>
      </w:r>
      <w:proofErr w:type="gramEnd"/>
      <w:r w:rsidRPr="00FE3ABE">
        <w:rPr>
          <w:rFonts w:ascii="Arial" w:hAnsi="Arial" w:cs="Arial"/>
        </w:rPr>
        <w:t>, and a need for the Council to consider whether higher levels of open-market housing are required in order to secure the delivery of affordable housing and/or support economic growth.</w:t>
      </w:r>
    </w:p>
    <w:p w14:paraId="49763D4D" w14:textId="77777777" w:rsidR="00FE3ABE" w:rsidRPr="00FE3ABE" w:rsidRDefault="00FE3ABE" w:rsidP="00FE3ABE">
      <w:pPr>
        <w:pStyle w:val="ListParagraph"/>
        <w:rPr>
          <w:rFonts w:ascii="Arial" w:hAnsi="Arial" w:cs="Arial"/>
        </w:rPr>
      </w:pPr>
    </w:p>
    <w:p w14:paraId="581A949A" w14:textId="77777777" w:rsidR="00FE3ABE" w:rsidRDefault="00FE3ABE" w:rsidP="00FE3ABE">
      <w:pPr>
        <w:pStyle w:val="ListParagraph"/>
        <w:numPr>
          <w:ilvl w:val="0"/>
          <w:numId w:val="8"/>
        </w:numPr>
        <w:rPr>
          <w:rFonts w:ascii="Arial" w:hAnsi="Arial" w:cs="Arial"/>
        </w:rPr>
      </w:pPr>
      <w:r w:rsidRPr="00FE3ABE">
        <w:rPr>
          <w:rFonts w:ascii="Arial" w:hAnsi="Arial" w:cs="Arial"/>
        </w:rPr>
        <w:lastRenderedPageBreak/>
        <w:t>Once the housing requirement has been set, the next phase is to consider housing land supply.  It is important to both minimise the amount of any unmet needs that cannot be accommodated within the Borough and clearly set out how any unmet need will be addressed elsewhere.  HBF recognise the constrained nature of the Borough and the size of the shortfall in Housing and Employment land being proposed in this plan.  However, it is important that the housing needs of Sandwell are met in full.</w:t>
      </w:r>
    </w:p>
    <w:p w14:paraId="00EA2F68" w14:textId="77777777" w:rsidR="00982C5C" w:rsidRPr="00982C5C" w:rsidRDefault="00982C5C" w:rsidP="00982C5C">
      <w:pPr>
        <w:rPr>
          <w:rFonts w:ascii="Arial" w:hAnsi="Arial" w:cs="Arial"/>
        </w:rPr>
      </w:pPr>
    </w:p>
    <w:p w14:paraId="1E923686" w14:textId="50EB9E81" w:rsidR="00982C5C" w:rsidRDefault="00982C5C" w:rsidP="00982C5C">
      <w:pPr>
        <w:pStyle w:val="ListParagraph"/>
        <w:numPr>
          <w:ilvl w:val="0"/>
          <w:numId w:val="8"/>
        </w:numPr>
        <w:rPr>
          <w:rFonts w:ascii="Arial" w:hAnsi="Arial" w:cs="Arial"/>
        </w:rPr>
      </w:pPr>
      <w:r w:rsidRPr="00982C5C">
        <w:rPr>
          <w:rFonts w:ascii="Arial" w:hAnsi="Arial" w:cs="Arial"/>
        </w:rPr>
        <w:t xml:space="preserve">Although HBF is pleased to see the Council commit to ongoing working with neighbouring authorities to try an address this matter under the Duty to Cooperate the fact remains that the Local Plan’s policies should ensure the availability of a sufficient supply of deliverable and developable land to deliver Sandwell’s housing requirement.  If it is not possible to do this within the </w:t>
      </w:r>
      <w:r w:rsidR="000C349D">
        <w:rPr>
          <w:rFonts w:ascii="Arial" w:hAnsi="Arial" w:cs="Arial"/>
        </w:rPr>
        <w:t xml:space="preserve">Council’s </w:t>
      </w:r>
      <w:r w:rsidRPr="00982C5C">
        <w:rPr>
          <w:rFonts w:ascii="Arial" w:hAnsi="Arial" w:cs="Arial"/>
        </w:rPr>
        <w:t xml:space="preserve">boundary then Green Belt </w:t>
      </w:r>
      <w:r w:rsidR="000C349D">
        <w:rPr>
          <w:rFonts w:ascii="Arial" w:hAnsi="Arial" w:cs="Arial"/>
        </w:rPr>
        <w:t xml:space="preserve">should be considered. </w:t>
      </w:r>
    </w:p>
    <w:p w14:paraId="255571B3" w14:textId="77777777" w:rsidR="00386949" w:rsidRPr="00386949" w:rsidRDefault="00386949" w:rsidP="00386949">
      <w:pPr>
        <w:pStyle w:val="ListParagraph"/>
        <w:rPr>
          <w:rFonts w:ascii="Arial" w:hAnsi="Arial" w:cs="Arial"/>
        </w:rPr>
      </w:pPr>
    </w:p>
    <w:p w14:paraId="7F3E9C61" w14:textId="77777777" w:rsidR="00386949" w:rsidRPr="00386949" w:rsidRDefault="00386949" w:rsidP="00386949">
      <w:pPr>
        <w:pStyle w:val="ListParagraph"/>
        <w:numPr>
          <w:ilvl w:val="0"/>
          <w:numId w:val="8"/>
        </w:numPr>
        <w:rPr>
          <w:rFonts w:ascii="Arial" w:hAnsi="Arial" w:cs="Arial"/>
        </w:rPr>
      </w:pPr>
      <w:r w:rsidRPr="00386949">
        <w:rPr>
          <w:rFonts w:ascii="Arial" w:hAnsi="Arial" w:cs="Arial"/>
        </w:rPr>
        <w:t>Criteria 3 of the policy sets out that “Appendices B and C show how the housing and employment land ambitions for Sandwell will be met. Those development needs that cannot be accommodated within the borough will be exported to sustainable locations in neighbouring local authority areas, following consultation.” HBF suggest this should be set out as an integral part of the policy and not deferred to Appendix B and C.</w:t>
      </w:r>
    </w:p>
    <w:p w14:paraId="20022E53" w14:textId="77777777" w:rsidR="00386949" w:rsidRPr="00386949" w:rsidRDefault="00386949" w:rsidP="00386949">
      <w:pPr>
        <w:pStyle w:val="ListParagraph"/>
        <w:rPr>
          <w:rFonts w:ascii="Arial" w:hAnsi="Arial" w:cs="Arial"/>
        </w:rPr>
      </w:pPr>
    </w:p>
    <w:p w14:paraId="0EB7EE03" w14:textId="77777777" w:rsidR="00386949" w:rsidRDefault="00386949" w:rsidP="00386949">
      <w:pPr>
        <w:pStyle w:val="ListParagraph"/>
        <w:numPr>
          <w:ilvl w:val="0"/>
          <w:numId w:val="8"/>
        </w:numPr>
        <w:rPr>
          <w:rFonts w:ascii="Arial" w:hAnsi="Arial" w:cs="Arial"/>
        </w:rPr>
      </w:pPr>
      <w:r w:rsidRPr="00386949">
        <w:rPr>
          <w:rFonts w:ascii="Arial" w:hAnsi="Arial" w:cs="Arial"/>
        </w:rPr>
        <w:t xml:space="preserve">HBF believe that Sandwell’s inability to meet its housing (and employment) needs requires revisiting the Spatial Strategy results in the ‘exceptional circumstances’ that would require the need for a Green Belt review as set out in para 140 of the NPPF.  </w:t>
      </w:r>
    </w:p>
    <w:p w14:paraId="455AB675" w14:textId="77777777" w:rsidR="001A1508" w:rsidRPr="001A1508" w:rsidRDefault="001A1508" w:rsidP="001A1508">
      <w:pPr>
        <w:pStyle w:val="ListParagraph"/>
        <w:rPr>
          <w:rFonts w:ascii="Arial" w:hAnsi="Arial" w:cs="Arial"/>
        </w:rPr>
      </w:pPr>
    </w:p>
    <w:p w14:paraId="427CB5E4" w14:textId="267749ED" w:rsidR="001A1508" w:rsidRDefault="001A1508" w:rsidP="00386949">
      <w:pPr>
        <w:pStyle w:val="ListParagraph"/>
        <w:numPr>
          <w:ilvl w:val="0"/>
          <w:numId w:val="8"/>
        </w:numPr>
        <w:rPr>
          <w:rFonts w:ascii="Arial" w:hAnsi="Arial" w:cs="Arial"/>
        </w:rPr>
      </w:pPr>
      <w:r>
        <w:rPr>
          <w:rFonts w:ascii="Arial" w:hAnsi="Arial" w:cs="Arial"/>
        </w:rPr>
        <w:t xml:space="preserve">As set out in our comments on the Duty to Cooperate above, HBF remains very </w:t>
      </w:r>
      <w:r w:rsidR="00E32D3C">
        <w:rPr>
          <w:rFonts w:ascii="Arial" w:hAnsi="Arial" w:cs="Arial"/>
        </w:rPr>
        <w:t>concerned</w:t>
      </w:r>
      <w:r>
        <w:rPr>
          <w:rFonts w:ascii="Arial" w:hAnsi="Arial" w:cs="Arial"/>
        </w:rPr>
        <w:t xml:space="preserve"> about the </w:t>
      </w:r>
      <w:r w:rsidR="00E32D3C">
        <w:rPr>
          <w:rFonts w:ascii="Arial" w:hAnsi="Arial" w:cs="Arial"/>
        </w:rPr>
        <w:t>reliance</w:t>
      </w:r>
      <w:r>
        <w:rPr>
          <w:rFonts w:ascii="Arial" w:hAnsi="Arial" w:cs="Arial"/>
        </w:rPr>
        <w:t xml:space="preserve"> of the Council on neighbouring authorities to deliver </w:t>
      </w:r>
      <w:proofErr w:type="gramStart"/>
      <w:r>
        <w:rPr>
          <w:rFonts w:ascii="Arial" w:hAnsi="Arial" w:cs="Arial"/>
        </w:rPr>
        <w:t>it’s</w:t>
      </w:r>
      <w:proofErr w:type="gramEnd"/>
      <w:r>
        <w:rPr>
          <w:rFonts w:ascii="Arial" w:hAnsi="Arial" w:cs="Arial"/>
        </w:rPr>
        <w:t xml:space="preserve"> unmet needs, </w:t>
      </w:r>
      <w:r w:rsidR="00E32D3C">
        <w:rPr>
          <w:rFonts w:ascii="Arial" w:hAnsi="Arial" w:cs="Arial"/>
        </w:rPr>
        <w:t>especially</w:t>
      </w:r>
      <w:r>
        <w:rPr>
          <w:rFonts w:ascii="Arial" w:hAnsi="Arial" w:cs="Arial"/>
        </w:rPr>
        <w:t xml:space="preserve"> </w:t>
      </w:r>
      <w:r w:rsidR="00E32D3C">
        <w:rPr>
          <w:rFonts w:ascii="Arial" w:hAnsi="Arial" w:cs="Arial"/>
        </w:rPr>
        <w:t xml:space="preserve">in light of the issue the Shropshire Local Plan has recently encountered.  These difficulties further underline the need for Sandwell to be doing more to meet its own needs including through a comprehensive Green Belt review and </w:t>
      </w:r>
      <w:r w:rsidR="0067741D">
        <w:rPr>
          <w:rFonts w:ascii="Arial" w:hAnsi="Arial" w:cs="Arial"/>
        </w:rPr>
        <w:t xml:space="preserve">new </w:t>
      </w:r>
      <w:r w:rsidR="00E32D3C">
        <w:rPr>
          <w:rFonts w:ascii="Arial" w:hAnsi="Arial" w:cs="Arial"/>
        </w:rPr>
        <w:t xml:space="preserve">allocations </w:t>
      </w:r>
      <w:r w:rsidR="0067741D">
        <w:rPr>
          <w:rFonts w:ascii="Arial" w:hAnsi="Arial" w:cs="Arial"/>
        </w:rPr>
        <w:t xml:space="preserve">for </w:t>
      </w:r>
      <w:r w:rsidR="00E32D3C">
        <w:rPr>
          <w:rFonts w:ascii="Arial" w:hAnsi="Arial" w:cs="Arial"/>
        </w:rPr>
        <w:t>housing</w:t>
      </w:r>
      <w:r w:rsidR="0067741D">
        <w:rPr>
          <w:rFonts w:ascii="Arial" w:hAnsi="Arial" w:cs="Arial"/>
        </w:rPr>
        <w:t xml:space="preserve">. </w:t>
      </w:r>
      <w:r w:rsidR="00E32D3C">
        <w:rPr>
          <w:rFonts w:ascii="Arial" w:hAnsi="Arial" w:cs="Arial"/>
        </w:rPr>
        <w:t xml:space="preserve"> </w:t>
      </w:r>
    </w:p>
    <w:p w14:paraId="7299CD53" w14:textId="77777777" w:rsidR="00EF5F94" w:rsidRPr="00386949" w:rsidRDefault="00EF5F94" w:rsidP="00EF5F94">
      <w:pPr>
        <w:pStyle w:val="ListParagraph"/>
        <w:rPr>
          <w:rFonts w:ascii="Arial" w:hAnsi="Arial" w:cs="Arial"/>
        </w:rPr>
      </w:pPr>
    </w:p>
    <w:p w14:paraId="0EC3CBCA" w14:textId="4DEE0DDD" w:rsidR="00FE3ABE" w:rsidRDefault="00EF5F94" w:rsidP="002811F0">
      <w:pPr>
        <w:pStyle w:val="ListParagraph"/>
        <w:rPr>
          <w:rFonts w:ascii="Arial" w:hAnsi="Arial" w:cs="Arial"/>
          <w:b/>
          <w:bCs/>
        </w:rPr>
      </w:pPr>
      <w:r w:rsidRPr="00EF5F94">
        <w:rPr>
          <w:rFonts w:ascii="Arial" w:hAnsi="Arial" w:cs="Arial"/>
          <w:b/>
          <w:bCs/>
        </w:rPr>
        <w:t>Policy SDS6- Green Belt</w:t>
      </w:r>
    </w:p>
    <w:p w14:paraId="664EE3B9" w14:textId="77777777" w:rsidR="00EF5F94" w:rsidRPr="00EF5F94" w:rsidRDefault="00EF5F94" w:rsidP="00EF5F94">
      <w:pPr>
        <w:pStyle w:val="ListParagraph"/>
        <w:rPr>
          <w:rFonts w:ascii="Arial" w:hAnsi="Arial" w:cs="Arial"/>
          <w:b/>
          <w:bCs/>
        </w:rPr>
      </w:pPr>
    </w:p>
    <w:p w14:paraId="74269358" w14:textId="1C4F6B3E" w:rsidR="001F50FD" w:rsidRDefault="00EF5F94" w:rsidP="002811F0">
      <w:pPr>
        <w:pStyle w:val="ListParagraph"/>
        <w:rPr>
          <w:rFonts w:ascii="Arial" w:hAnsi="Arial" w:cs="Arial"/>
        </w:rPr>
      </w:pPr>
      <w:r w:rsidRPr="002811F0">
        <w:rPr>
          <w:rFonts w:ascii="Arial" w:hAnsi="Arial" w:cs="Arial"/>
          <w:i/>
          <w:iCs/>
        </w:rPr>
        <w:t>The Policy is not considered to be sound as it is not justified or effective or in line with national policy</w:t>
      </w:r>
      <w:r w:rsidRPr="00EF5F94">
        <w:rPr>
          <w:rFonts w:ascii="Arial" w:hAnsi="Arial" w:cs="Arial"/>
        </w:rPr>
        <w:t>.</w:t>
      </w:r>
    </w:p>
    <w:p w14:paraId="5A820D20" w14:textId="77777777" w:rsidR="002811F0" w:rsidRPr="001F50FD" w:rsidRDefault="002811F0" w:rsidP="002811F0">
      <w:pPr>
        <w:pStyle w:val="ListParagraph"/>
        <w:rPr>
          <w:rFonts w:ascii="Arial" w:hAnsi="Arial" w:cs="Arial"/>
        </w:rPr>
      </w:pPr>
    </w:p>
    <w:p w14:paraId="7042B291" w14:textId="490CAA8B" w:rsidR="002811F0" w:rsidRDefault="002811F0" w:rsidP="002811F0">
      <w:pPr>
        <w:pStyle w:val="ListParagraph"/>
        <w:numPr>
          <w:ilvl w:val="0"/>
          <w:numId w:val="8"/>
        </w:numPr>
        <w:rPr>
          <w:rFonts w:ascii="Arial" w:hAnsi="Arial" w:cs="Arial"/>
        </w:rPr>
      </w:pPr>
      <w:r w:rsidRPr="002811F0">
        <w:rPr>
          <w:rFonts w:ascii="Arial" w:hAnsi="Arial" w:cs="Arial"/>
        </w:rPr>
        <w:t xml:space="preserve">HBF </w:t>
      </w:r>
      <w:proofErr w:type="spellStart"/>
      <w:r w:rsidR="00756F7A">
        <w:rPr>
          <w:rFonts w:ascii="Arial" w:hAnsi="Arial" w:cs="Arial"/>
        </w:rPr>
        <w:t>continune</w:t>
      </w:r>
      <w:proofErr w:type="spellEnd"/>
      <w:r w:rsidR="00756F7A">
        <w:rPr>
          <w:rFonts w:ascii="Arial" w:hAnsi="Arial" w:cs="Arial"/>
        </w:rPr>
        <w:t xml:space="preserve"> to </w:t>
      </w:r>
      <w:r w:rsidRPr="002811F0">
        <w:rPr>
          <w:rFonts w:ascii="Arial" w:hAnsi="Arial" w:cs="Arial"/>
        </w:rPr>
        <w:t>strongly disagree with the conclusion in para 3.</w:t>
      </w:r>
      <w:r w:rsidR="0078142F">
        <w:rPr>
          <w:rFonts w:ascii="Arial" w:hAnsi="Arial" w:cs="Arial"/>
        </w:rPr>
        <w:t>99</w:t>
      </w:r>
      <w:r w:rsidRPr="002811F0">
        <w:rPr>
          <w:rFonts w:ascii="Arial" w:hAnsi="Arial" w:cs="Arial"/>
        </w:rPr>
        <w:t xml:space="preserve"> which says:</w:t>
      </w:r>
    </w:p>
    <w:p w14:paraId="79B2834A" w14:textId="77777777" w:rsidR="00E43E81" w:rsidRPr="002811F0" w:rsidRDefault="00E43E81" w:rsidP="00756F7A">
      <w:pPr>
        <w:pStyle w:val="ListParagraph"/>
        <w:rPr>
          <w:rFonts w:ascii="Arial" w:hAnsi="Arial" w:cs="Arial"/>
        </w:rPr>
      </w:pPr>
    </w:p>
    <w:p w14:paraId="364EC88D" w14:textId="3E50D26E" w:rsidR="007F59B4" w:rsidRPr="00E43E81" w:rsidRDefault="00756F7A" w:rsidP="00756F7A">
      <w:pPr>
        <w:pStyle w:val="ListParagraph"/>
        <w:rPr>
          <w:rFonts w:ascii="Arial" w:hAnsi="Arial" w:cs="Arial"/>
        </w:rPr>
      </w:pPr>
      <w:r>
        <w:t>“</w:t>
      </w:r>
      <w:r w:rsidR="00E43E81">
        <w:t>It is the Council’s view that there are no exceptional circumstances in Sandwell that would justify amending current boundaries and releasing any areas of green belt for new development. While there is an identified shortfall of land suitable for housing and economic development, this of itself does not outweigh the need to maintain the openness and permanence of the green belt within Sandwell, especially given the densely developed and urban character of the rest of the borough.</w:t>
      </w:r>
      <w:r>
        <w:t>”</w:t>
      </w:r>
    </w:p>
    <w:p w14:paraId="1A98F9A3" w14:textId="0E37FCCF" w:rsidR="00E43E81" w:rsidRPr="00DF3833" w:rsidRDefault="00E43E81" w:rsidP="007F59B4">
      <w:pPr>
        <w:pStyle w:val="ListParagraph"/>
        <w:numPr>
          <w:ilvl w:val="0"/>
          <w:numId w:val="8"/>
        </w:numPr>
        <w:rPr>
          <w:rFonts w:ascii="Arial" w:hAnsi="Arial" w:cs="Arial"/>
        </w:rPr>
      </w:pPr>
      <w:r>
        <w:lastRenderedPageBreak/>
        <w:t xml:space="preserve">HBF </w:t>
      </w:r>
      <w:r w:rsidR="00756F7A">
        <w:t xml:space="preserve">are </w:t>
      </w:r>
      <w:r>
        <w:t xml:space="preserve">strongly of the view that planning to meet less than half of your </w:t>
      </w:r>
      <w:r w:rsidR="00AD5BA9">
        <w:t>identified</w:t>
      </w:r>
      <w:r>
        <w:t xml:space="preserve"> housing need is </w:t>
      </w:r>
      <w:r w:rsidR="00AD5BA9">
        <w:t>clearly</w:t>
      </w:r>
      <w:r>
        <w:t xml:space="preserve"> evidence of the exceptional </w:t>
      </w:r>
      <w:r w:rsidR="00AD5BA9">
        <w:t>circumstances</w:t>
      </w:r>
      <w:r>
        <w:t xml:space="preserve"> required to </w:t>
      </w:r>
      <w:r w:rsidR="00AD5BA9">
        <w:t>justify</w:t>
      </w:r>
      <w:r>
        <w:t xml:space="preserve"> </w:t>
      </w:r>
      <w:r w:rsidR="00AD5BA9">
        <w:t>releasing</w:t>
      </w:r>
      <w:r w:rsidR="00851F86">
        <w:t xml:space="preserve"> areas of </w:t>
      </w:r>
      <w:r w:rsidR="00AD5BA9">
        <w:t>green</w:t>
      </w:r>
      <w:r w:rsidR="00851F86">
        <w:t xml:space="preserve"> belt land</w:t>
      </w:r>
      <w:r w:rsidR="00DF3833">
        <w:t>.</w:t>
      </w:r>
    </w:p>
    <w:p w14:paraId="7DA96C5D" w14:textId="77777777" w:rsidR="00DF3833" w:rsidRPr="008641F4" w:rsidRDefault="00DF3833" w:rsidP="00DF3833">
      <w:pPr>
        <w:pStyle w:val="ListParagraph"/>
        <w:rPr>
          <w:rFonts w:ascii="Arial" w:hAnsi="Arial" w:cs="Arial"/>
        </w:rPr>
      </w:pPr>
    </w:p>
    <w:p w14:paraId="2AC27F20" w14:textId="6D4ABAB4" w:rsidR="008641F4" w:rsidRDefault="008641F4" w:rsidP="007F59B4">
      <w:pPr>
        <w:pStyle w:val="ListParagraph"/>
        <w:numPr>
          <w:ilvl w:val="0"/>
          <w:numId w:val="8"/>
        </w:numPr>
        <w:rPr>
          <w:rFonts w:ascii="Arial" w:hAnsi="Arial" w:cs="Arial"/>
        </w:rPr>
      </w:pPr>
      <w:r w:rsidRPr="008641F4">
        <w:rPr>
          <w:rFonts w:ascii="Arial" w:hAnsi="Arial" w:cs="Arial"/>
        </w:rPr>
        <w:t>HBF would argue that the current housing crisis and the inability of Sandwell meet its own needs provide</w:t>
      </w:r>
      <w:r w:rsidR="00DF3833">
        <w:rPr>
          <w:rFonts w:ascii="Arial" w:hAnsi="Arial" w:cs="Arial"/>
        </w:rPr>
        <w:t xml:space="preserve"> the </w:t>
      </w:r>
      <w:r w:rsidRPr="008641F4">
        <w:rPr>
          <w:rFonts w:ascii="Arial" w:hAnsi="Arial" w:cs="Arial"/>
        </w:rPr>
        <w:t>exceptional circumstances to necessitate a Green Belt review, which must include the consideration of both employment and housing sites.</w:t>
      </w:r>
    </w:p>
    <w:p w14:paraId="712D6D9B" w14:textId="77777777" w:rsidR="009419BD" w:rsidRPr="009419BD" w:rsidRDefault="009419BD" w:rsidP="009419BD">
      <w:pPr>
        <w:pStyle w:val="ListParagraph"/>
        <w:rPr>
          <w:rFonts w:ascii="Arial" w:hAnsi="Arial" w:cs="Arial"/>
        </w:rPr>
      </w:pPr>
    </w:p>
    <w:p w14:paraId="3FD84FBB" w14:textId="77777777" w:rsidR="009419BD" w:rsidRPr="009419BD" w:rsidRDefault="009419BD" w:rsidP="009419BD">
      <w:pPr>
        <w:pStyle w:val="ListParagraph"/>
        <w:numPr>
          <w:ilvl w:val="0"/>
          <w:numId w:val="8"/>
        </w:numPr>
        <w:rPr>
          <w:rFonts w:ascii="Arial" w:hAnsi="Arial" w:cs="Arial"/>
        </w:rPr>
      </w:pPr>
      <w:r w:rsidRPr="009419BD">
        <w:rPr>
          <w:rFonts w:ascii="Arial" w:hAnsi="Arial" w:cs="Arial"/>
        </w:rPr>
        <w:t>NPPF (para 20) is clear that “Strategic policies should set out an overall strategy for the pattern, scale and design quality of places, and make sufficient provision housing (including affordable housing), employment, retail, leisure and other commercial development”.  Para 11 of the NPPF states that “all plans should promote a sustainable pattern of development that seeks to: meet the development needs of their area; align growth and infrastructure; improve the environment; mitigate climate change (including by making effective use of land in urban areas) and adapt to its effects”.</w:t>
      </w:r>
    </w:p>
    <w:p w14:paraId="68777FE3" w14:textId="77777777" w:rsidR="009419BD" w:rsidRPr="009419BD" w:rsidRDefault="009419BD" w:rsidP="009419BD">
      <w:pPr>
        <w:pStyle w:val="ListParagraph"/>
        <w:rPr>
          <w:rFonts w:ascii="Arial" w:hAnsi="Arial" w:cs="Arial"/>
        </w:rPr>
      </w:pPr>
    </w:p>
    <w:p w14:paraId="4B722831" w14:textId="3A715F37" w:rsidR="009419BD" w:rsidRPr="009419BD" w:rsidRDefault="009419BD" w:rsidP="009419BD">
      <w:pPr>
        <w:pStyle w:val="ListParagraph"/>
        <w:numPr>
          <w:ilvl w:val="0"/>
          <w:numId w:val="8"/>
        </w:numPr>
        <w:rPr>
          <w:rFonts w:ascii="Arial" w:hAnsi="Arial" w:cs="Arial"/>
        </w:rPr>
      </w:pPr>
      <w:r w:rsidRPr="009419BD">
        <w:rPr>
          <w:rFonts w:ascii="Arial" w:hAnsi="Arial" w:cs="Arial"/>
        </w:rPr>
        <w:t xml:space="preserve">HBF cannot see how a plan that provides for </w:t>
      </w:r>
      <w:r>
        <w:rPr>
          <w:rFonts w:ascii="Arial" w:hAnsi="Arial" w:cs="Arial"/>
        </w:rPr>
        <w:t xml:space="preserve">less than half </w:t>
      </w:r>
      <w:r w:rsidRPr="009419BD">
        <w:rPr>
          <w:rFonts w:ascii="Arial" w:hAnsi="Arial" w:cs="Arial"/>
        </w:rPr>
        <w:t xml:space="preserve">of its housing requirement standard method baseline (and HBF argue the housing requirement itself should be higher) can meet the requirements to be positively prepared and setting out a clear </w:t>
      </w:r>
      <w:proofErr w:type="gramStart"/>
      <w:r w:rsidRPr="009419BD">
        <w:rPr>
          <w:rFonts w:ascii="Arial" w:hAnsi="Arial" w:cs="Arial"/>
        </w:rPr>
        <w:t>long term</w:t>
      </w:r>
      <w:proofErr w:type="gramEnd"/>
      <w:r w:rsidRPr="009419BD">
        <w:rPr>
          <w:rFonts w:ascii="Arial" w:hAnsi="Arial" w:cs="Arial"/>
        </w:rPr>
        <w:t xml:space="preserve"> vision for the area which is the purpose of plan-making.  NPPF para 60 clearly states that “to support the government’s objective of significantly boosting the supply of homes, it is important that a sufficient amount and variety of land can come forward where it is needed, that the needs of groups with specific housing requirements are addressed and that land with permission is developed without unnecessary delay.”</w:t>
      </w:r>
    </w:p>
    <w:p w14:paraId="757CBBE2" w14:textId="77777777" w:rsidR="009419BD" w:rsidRPr="009419BD" w:rsidRDefault="009419BD" w:rsidP="009419BD">
      <w:pPr>
        <w:pStyle w:val="ListParagraph"/>
        <w:rPr>
          <w:rFonts w:ascii="Arial" w:hAnsi="Arial" w:cs="Arial"/>
        </w:rPr>
      </w:pPr>
    </w:p>
    <w:p w14:paraId="4D40D65F" w14:textId="77777777" w:rsidR="009419BD" w:rsidRPr="009419BD" w:rsidRDefault="009419BD" w:rsidP="009419BD">
      <w:pPr>
        <w:pStyle w:val="ListParagraph"/>
        <w:numPr>
          <w:ilvl w:val="0"/>
          <w:numId w:val="8"/>
        </w:numPr>
        <w:rPr>
          <w:rFonts w:ascii="Arial" w:hAnsi="Arial" w:cs="Arial"/>
        </w:rPr>
      </w:pPr>
      <w:r w:rsidRPr="009419BD">
        <w:rPr>
          <w:rFonts w:ascii="Arial" w:hAnsi="Arial" w:cs="Arial"/>
        </w:rPr>
        <w:t xml:space="preserve">HBF believes the Council’s inability to meet their own housing need </w:t>
      </w:r>
      <w:proofErr w:type="gramStart"/>
      <w:r w:rsidRPr="009419BD">
        <w:rPr>
          <w:rFonts w:ascii="Arial" w:hAnsi="Arial" w:cs="Arial"/>
        </w:rPr>
        <w:t>in the midst of</w:t>
      </w:r>
      <w:proofErr w:type="gramEnd"/>
      <w:r w:rsidRPr="009419BD">
        <w:rPr>
          <w:rFonts w:ascii="Arial" w:hAnsi="Arial" w:cs="Arial"/>
        </w:rPr>
        <w:t xml:space="preserve"> a housing consider is a factor that constitutes the exception circumstances that justify green belt release.</w:t>
      </w:r>
    </w:p>
    <w:p w14:paraId="4B6CCB5C" w14:textId="77777777" w:rsidR="009419BD" w:rsidRPr="009419BD" w:rsidRDefault="009419BD" w:rsidP="009419BD">
      <w:pPr>
        <w:pStyle w:val="ListParagraph"/>
        <w:rPr>
          <w:rFonts w:ascii="Arial" w:hAnsi="Arial" w:cs="Arial"/>
        </w:rPr>
      </w:pPr>
    </w:p>
    <w:p w14:paraId="27C261E3" w14:textId="77777777" w:rsidR="009419BD" w:rsidRPr="009419BD" w:rsidRDefault="009419BD" w:rsidP="009419BD">
      <w:pPr>
        <w:pStyle w:val="ListParagraph"/>
        <w:numPr>
          <w:ilvl w:val="0"/>
          <w:numId w:val="8"/>
        </w:numPr>
        <w:rPr>
          <w:rFonts w:ascii="Arial" w:hAnsi="Arial" w:cs="Arial"/>
        </w:rPr>
      </w:pPr>
      <w:r w:rsidRPr="009419BD">
        <w:rPr>
          <w:rFonts w:ascii="Arial" w:hAnsi="Arial" w:cs="Arial"/>
        </w:rPr>
        <w:t xml:space="preserve">HBF support ambitious growth aspirations in Sandwell.  HBF highlight the need to consider the interaction between employment and housing.  An increase in the number of jobs can it itself generate a requirement for additional housing, and failure to provide housing can have negative impacts on the economic and social wellbeing of the area.  </w:t>
      </w:r>
    </w:p>
    <w:p w14:paraId="673216A8" w14:textId="77777777" w:rsidR="009419BD" w:rsidRPr="009419BD" w:rsidRDefault="009419BD" w:rsidP="009419BD">
      <w:pPr>
        <w:pStyle w:val="ListParagraph"/>
        <w:rPr>
          <w:rFonts w:ascii="Arial" w:hAnsi="Arial" w:cs="Arial"/>
        </w:rPr>
      </w:pPr>
    </w:p>
    <w:p w14:paraId="079C1908" w14:textId="2A5E9653" w:rsidR="009419BD" w:rsidRPr="009419BD" w:rsidRDefault="009419BD" w:rsidP="009419BD">
      <w:pPr>
        <w:pStyle w:val="ListParagraph"/>
        <w:numPr>
          <w:ilvl w:val="0"/>
          <w:numId w:val="8"/>
        </w:numPr>
        <w:rPr>
          <w:rFonts w:ascii="Arial" w:hAnsi="Arial" w:cs="Arial"/>
        </w:rPr>
      </w:pPr>
      <w:r w:rsidRPr="009419BD">
        <w:rPr>
          <w:rFonts w:ascii="Arial" w:hAnsi="Arial" w:cs="Arial"/>
        </w:rPr>
        <w:t>The Plan need to ensure there is a sufficiency of Housing Land Supply (HLS) to meet the housing requirement, ensure the maintenance of a 5 Year Housing Land Supply (5YHLS) and achieve Housing Delivery Test (HDT) performance measurements.  HBF cannot see how achieving these aims is possible without Green Belt release.  It is noted that this may in turn also effect the spatial strategy for the Local Plan.</w:t>
      </w:r>
    </w:p>
    <w:p w14:paraId="0A78EDE6" w14:textId="77777777" w:rsidR="009419BD" w:rsidRPr="009419BD" w:rsidRDefault="009419BD" w:rsidP="009419BD">
      <w:pPr>
        <w:pStyle w:val="ListParagraph"/>
        <w:rPr>
          <w:rFonts w:ascii="Arial" w:hAnsi="Arial" w:cs="Arial"/>
        </w:rPr>
      </w:pPr>
    </w:p>
    <w:p w14:paraId="5C4B478D" w14:textId="77777777" w:rsidR="009419BD" w:rsidRDefault="009419BD" w:rsidP="009419BD">
      <w:pPr>
        <w:pStyle w:val="ListParagraph"/>
        <w:numPr>
          <w:ilvl w:val="0"/>
          <w:numId w:val="8"/>
        </w:numPr>
        <w:rPr>
          <w:rFonts w:ascii="Arial" w:hAnsi="Arial" w:cs="Arial"/>
        </w:rPr>
      </w:pPr>
      <w:r w:rsidRPr="009419BD">
        <w:rPr>
          <w:rFonts w:ascii="Arial" w:hAnsi="Arial" w:cs="Arial"/>
        </w:rPr>
        <w:t xml:space="preserve">HBF also suggest the Council should </w:t>
      </w:r>
      <w:proofErr w:type="gramStart"/>
      <w:r w:rsidRPr="009419BD">
        <w:rPr>
          <w:rFonts w:ascii="Arial" w:hAnsi="Arial" w:cs="Arial"/>
        </w:rPr>
        <w:t>give explicit consideration to</w:t>
      </w:r>
      <w:proofErr w:type="gramEnd"/>
      <w:r w:rsidRPr="009419BD">
        <w:rPr>
          <w:rFonts w:ascii="Arial" w:hAnsi="Arial" w:cs="Arial"/>
        </w:rPr>
        <w:t xml:space="preserve"> whether BNG development is acceptable within the Green Belt and/or if green belt boundaries need to be revised accommodate schemes that deliver off-site, and possibly even on-site biodiversity gains.</w:t>
      </w:r>
    </w:p>
    <w:p w14:paraId="3F1671DE" w14:textId="77777777" w:rsidR="005B56D8" w:rsidRPr="005B56D8" w:rsidRDefault="005B56D8" w:rsidP="005B56D8">
      <w:pPr>
        <w:pStyle w:val="ListParagraph"/>
        <w:rPr>
          <w:rFonts w:ascii="Arial" w:hAnsi="Arial" w:cs="Arial"/>
        </w:rPr>
      </w:pPr>
    </w:p>
    <w:p w14:paraId="328E5A68" w14:textId="77777777" w:rsidR="005B56D8" w:rsidRPr="005B56D8" w:rsidRDefault="005B56D8" w:rsidP="005B56D8">
      <w:pPr>
        <w:pStyle w:val="ListParagraph"/>
        <w:rPr>
          <w:rFonts w:ascii="Arial" w:hAnsi="Arial" w:cs="Arial"/>
          <w:b/>
          <w:bCs/>
        </w:rPr>
      </w:pPr>
      <w:r w:rsidRPr="005B56D8">
        <w:rPr>
          <w:rFonts w:ascii="Arial" w:hAnsi="Arial" w:cs="Arial"/>
          <w:b/>
          <w:bCs/>
        </w:rPr>
        <w:t>Policy SNE2- Protection and Enhancement of Wildlife Habitats</w:t>
      </w:r>
    </w:p>
    <w:p w14:paraId="7735A90D" w14:textId="77777777" w:rsidR="005B56D8" w:rsidRDefault="005B56D8" w:rsidP="005B56D8">
      <w:pPr>
        <w:pStyle w:val="ListParagraph"/>
        <w:rPr>
          <w:rFonts w:ascii="Arial" w:hAnsi="Arial" w:cs="Arial"/>
        </w:rPr>
      </w:pPr>
    </w:p>
    <w:p w14:paraId="049B2A80" w14:textId="4637AD67" w:rsidR="005B56D8" w:rsidRPr="005B56D8" w:rsidRDefault="005B56D8" w:rsidP="005B56D8">
      <w:pPr>
        <w:pStyle w:val="ListParagraph"/>
        <w:rPr>
          <w:rFonts w:ascii="Arial" w:hAnsi="Arial" w:cs="Arial"/>
          <w:i/>
          <w:iCs/>
        </w:rPr>
      </w:pPr>
      <w:r w:rsidRPr="005B56D8">
        <w:rPr>
          <w:rFonts w:ascii="Arial" w:hAnsi="Arial" w:cs="Arial"/>
          <w:i/>
          <w:iCs/>
        </w:rPr>
        <w:t>The Policy is not considered to be sound as it is not justified or effective or in line with national policy.</w:t>
      </w:r>
    </w:p>
    <w:p w14:paraId="177D5AF0" w14:textId="77777777" w:rsidR="005B56D8" w:rsidRPr="009419BD" w:rsidRDefault="005B56D8" w:rsidP="0036456B">
      <w:pPr>
        <w:pStyle w:val="ListParagraph"/>
        <w:rPr>
          <w:rFonts w:ascii="Arial" w:hAnsi="Arial" w:cs="Arial"/>
        </w:rPr>
      </w:pPr>
    </w:p>
    <w:p w14:paraId="757C8781" w14:textId="54D2A660" w:rsidR="0036456B" w:rsidRPr="00936559" w:rsidRDefault="0036456B" w:rsidP="004E1EE6">
      <w:pPr>
        <w:pStyle w:val="ListParagraph"/>
        <w:numPr>
          <w:ilvl w:val="0"/>
          <w:numId w:val="8"/>
        </w:numPr>
        <w:rPr>
          <w:rFonts w:ascii="Arial" w:hAnsi="Arial" w:cs="Arial"/>
        </w:rPr>
      </w:pPr>
      <w:r w:rsidRPr="00936559">
        <w:rPr>
          <w:rFonts w:ascii="Arial" w:hAnsi="Arial" w:cs="Arial"/>
        </w:rPr>
        <w:t>HBF note that although mandatory national BNG was introduced in the Environment Act 2021</w:t>
      </w:r>
      <w:r w:rsidR="003E33B9" w:rsidRPr="00936559">
        <w:rPr>
          <w:rFonts w:ascii="Arial" w:hAnsi="Arial" w:cs="Arial"/>
        </w:rPr>
        <w:t xml:space="preserve"> th</w:t>
      </w:r>
      <w:r w:rsidRPr="00936559">
        <w:rPr>
          <w:rFonts w:ascii="Arial" w:hAnsi="Arial" w:cs="Arial"/>
        </w:rPr>
        <w:t xml:space="preserve">e introduction of </w:t>
      </w:r>
      <w:proofErr w:type="spellStart"/>
      <w:r w:rsidRPr="00936559">
        <w:rPr>
          <w:rFonts w:ascii="Arial" w:hAnsi="Arial" w:cs="Arial"/>
        </w:rPr>
        <w:t>Biodoversty</w:t>
      </w:r>
      <w:proofErr w:type="spellEnd"/>
      <w:r w:rsidRPr="00936559">
        <w:rPr>
          <w:rFonts w:ascii="Arial" w:hAnsi="Arial" w:cs="Arial"/>
        </w:rPr>
        <w:t xml:space="preserve"> Net Gain </w:t>
      </w:r>
      <w:r w:rsidR="003E33B9" w:rsidRPr="00936559">
        <w:rPr>
          <w:rFonts w:ascii="Arial" w:hAnsi="Arial" w:cs="Arial"/>
        </w:rPr>
        <w:t xml:space="preserve">for planning application did not come </w:t>
      </w:r>
      <w:r w:rsidRPr="00936559">
        <w:rPr>
          <w:rFonts w:ascii="Arial" w:hAnsi="Arial" w:cs="Arial"/>
        </w:rPr>
        <w:t xml:space="preserve">for large sites </w:t>
      </w:r>
      <w:r w:rsidR="003E33B9" w:rsidRPr="00936559">
        <w:rPr>
          <w:rFonts w:ascii="Arial" w:hAnsi="Arial" w:cs="Arial"/>
        </w:rPr>
        <w:t xml:space="preserve">until </w:t>
      </w:r>
      <w:r w:rsidRPr="00936559">
        <w:rPr>
          <w:rFonts w:ascii="Arial" w:hAnsi="Arial" w:cs="Arial"/>
        </w:rPr>
        <w:t>Feb 12th</w:t>
      </w:r>
      <w:proofErr w:type="gramStart"/>
      <w:r w:rsidRPr="00936559">
        <w:rPr>
          <w:rFonts w:ascii="Arial" w:hAnsi="Arial" w:cs="Arial"/>
        </w:rPr>
        <w:t xml:space="preserve"> 2024</w:t>
      </w:r>
      <w:proofErr w:type="gramEnd"/>
      <w:r w:rsidRPr="00936559">
        <w:rPr>
          <w:rFonts w:ascii="Arial" w:hAnsi="Arial" w:cs="Arial"/>
        </w:rPr>
        <w:t>, and for small sites</w:t>
      </w:r>
      <w:r w:rsidR="00936559" w:rsidRPr="00936559">
        <w:rPr>
          <w:rFonts w:ascii="Arial" w:hAnsi="Arial" w:cs="Arial"/>
        </w:rPr>
        <w:t xml:space="preserve"> on </w:t>
      </w:r>
      <w:r w:rsidRPr="00936559">
        <w:rPr>
          <w:rFonts w:ascii="Arial" w:hAnsi="Arial" w:cs="Arial"/>
        </w:rPr>
        <w:t xml:space="preserve">2nd April 2024.  </w:t>
      </w:r>
    </w:p>
    <w:p w14:paraId="456745FE" w14:textId="77777777" w:rsidR="0036456B" w:rsidRPr="0036456B" w:rsidRDefault="0036456B" w:rsidP="00936559">
      <w:pPr>
        <w:pStyle w:val="ListParagraph"/>
        <w:rPr>
          <w:rFonts w:ascii="Arial" w:hAnsi="Arial" w:cs="Arial"/>
        </w:rPr>
      </w:pPr>
    </w:p>
    <w:p w14:paraId="1C6F8C92" w14:textId="024D6218" w:rsidR="00936559" w:rsidRDefault="0036456B" w:rsidP="00936559">
      <w:pPr>
        <w:pStyle w:val="ListParagraph"/>
        <w:numPr>
          <w:ilvl w:val="0"/>
          <w:numId w:val="8"/>
        </w:numPr>
        <w:rPr>
          <w:rFonts w:ascii="Arial" w:hAnsi="Arial" w:cs="Arial"/>
        </w:rPr>
      </w:pPr>
      <w:r w:rsidRPr="00936559">
        <w:rPr>
          <w:rFonts w:ascii="Arial" w:hAnsi="Arial" w:cs="Arial"/>
        </w:rPr>
        <w:t xml:space="preserve">HBF has been involved in a significant amount of work, being led by the Future Homes Hub, on BNG preparedness for some time, including feeding into the BNG Planning Practice Guidance and the DEFRA BNG Guidance.  </w:t>
      </w:r>
      <w:r w:rsidR="00936559" w:rsidRPr="00936559">
        <w:rPr>
          <w:rFonts w:ascii="Arial" w:hAnsi="Arial" w:cs="Arial"/>
        </w:rPr>
        <w:t xml:space="preserve">It is important for this policy to fully reflect all the new legislation, national policy and MHCLG and DEFRA guidance. </w:t>
      </w:r>
    </w:p>
    <w:p w14:paraId="6A49EF2F" w14:textId="77777777" w:rsidR="00683590" w:rsidRPr="00683590" w:rsidRDefault="00683590" w:rsidP="00683590">
      <w:pPr>
        <w:pStyle w:val="ListParagraph"/>
        <w:rPr>
          <w:rFonts w:ascii="Arial" w:hAnsi="Arial" w:cs="Arial"/>
        </w:rPr>
      </w:pPr>
    </w:p>
    <w:p w14:paraId="25F4EAEE" w14:textId="5596ADE5" w:rsidR="0036456B" w:rsidRPr="0036456B" w:rsidRDefault="0036456B" w:rsidP="0036456B">
      <w:pPr>
        <w:pStyle w:val="ListParagraph"/>
        <w:numPr>
          <w:ilvl w:val="0"/>
          <w:numId w:val="8"/>
        </w:numPr>
        <w:rPr>
          <w:rFonts w:ascii="Arial" w:hAnsi="Arial" w:cs="Arial"/>
        </w:rPr>
      </w:pPr>
      <w:r w:rsidRPr="0036456B">
        <w:rPr>
          <w:rFonts w:ascii="Arial" w:hAnsi="Arial" w:cs="Arial"/>
        </w:rPr>
        <w:t xml:space="preserve">HBF note that this represents a lot of new information that the Council will need work though and consider the implications of, </w:t>
      </w:r>
      <w:proofErr w:type="gramStart"/>
      <w:r w:rsidRPr="0036456B">
        <w:rPr>
          <w:rFonts w:ascii="Arial" w:hAnsi="Arial" w:cs="Arial"/>
        </w:rPr>
        <w:t>in order to</w:t>
      </w:r>
      <w:proofErr w:type="gramEnd"/>
      <w:r w:rsidRPr="0036456B">
        <w:rPr>
          <w:rFonts w:ascii="Arial" w:hAnsi="Arial" w:cs="Arial"/>
        </w:rPr>
        <w:t xml:space="preserve"> ensure that any policy on Biodiversity Net Gain policy complies with the latest policy and guidance now it has been published. It should also be noted that the PPG is clear that there is no need for individual Local Plans to repeat national BNG guidance.</w:t>
      </w:r>
    </w:p>
    <w:p w14:paraId="3FE57524" w14:textId="77777777" w:rsidR="0036456B" w:rsidRPr="0036456B" w:rsidRDefault="0036456B" w:rsidP="00683590">
      <w:pPr>
        <w:pStyle w:val="ListParagraph"/>
        <w:rPr>
          <w:rFonts w:ascii="Arial" w:hAnsi="Arial" w:cs="Arial"/>
        </w:rPr>
      </w:pPr>
    </w:p>
    <w:p w14:paraId="60CBC742" w14:textId="77777777" w:rsidR="0036456B" w:rsidRDefault="0036456B" w:rsidP="0036456B">
      <w:pPr>
        <w:pStyle w:val="ListParagraph"/>
        <w:numPr>
          <w:ilvl w:val="0"/>
          <w:numId w:val="8"/>
        </w:numPr>
        <w:rPr>
          <w:rFonts w:ascii="Arial" w:hAnsi="Arial" w:cs="Arial"/>
        </w:rPr>
      </w:pPr>
      <w:r w:rsidRPr="0036456B">
        <w:rPr>
          <w:rFonts w:ascii="Arial" w:hAnsi="Arial" w:cs="Arial"/>
        </w:rPr>
        <w:t>It is the HBF’s opinion that the Council should not deviate from the Government’s requirement for 10% biodiversity net gain as set out in the Environment Act.  The Plan should provide certainty for developers and a clear BNG policy with a fixed 10% figure, rather than the policy including the phrase “at least 10%” would help to provide this.</w:t>
      </w:r>
    </w:p>
    <w:p w14:paraId="4816D6DB" w14:textId="77777777" w:rsidR="00283F4C" w:rsidRPr="00283F4C" w:rsidRDefault="00283F4C" w:rsidP="00283F4C">
      <w:pPr>
        <w:pStyle w:val="ListParagraph"/>
        <w:rPr>
          <w:rFonts w:ascii="Arial" w:hAnsi="Arial" w:cs="Arial"/>
        </w:rPr>
      </w:pPr>
    </w:p>
    <w:p w14:paraId="3CDA56EC" w14:textId="77777777" w:rsidR="008D517D" w:rsidRDefault="008D517D" w:rsidP="008D517D">
      <w:pPr>
        <w:pStyle w:val="ListParagraph"/>
        <w:numPr>
          <w:ilvl w:val="0"/>
          <w:numId w:val="8"/>
        </w:numPr>
        <w:rPr>
          <w:rFonts w:ascii="Arial" w:hAnsi="Arial" w:cs="Arial"/>
        </w:rPr>
      </w:pPr>
      <w:r w:rsidRPr="008D517D">
        <w:rPr>
          <w:rFonts w:ascii="Arial" w:hAnsi="Arial" w:cs="Arial"/>
        </w:rPr>
        <w:t xml:space="preserve">Any requirements to go beyond 10% BNG needs to be clearly demonstrated with evidence including considering the implications of the policy approach as part of the whole plan viability appraisal.   </w:t>
      </w:r>
      <w:proofErr w:type="gramStart"/>
      <w:r w:rsidRPr="008D517D">
        <w:rPr>
          <w:rFonts w:ascii="Arial" w:hAnsi="Arial" w:cs="Arial"/>
        </w:rPr>
        <w:t>In particular, HBF</w:t>
      </w:r>
      <w:proofErr w:type="gramEnd"/>
      <w:r w:rsidRPr="008D517D">
        <w:rPr>
          <w:rFonts w:ascii="Arial" w:hAnsi="Arial" w:cs="Arial"/>
        </w:rPr>
        <w:t xml:space="preserve"> would question how the viability of more than 10% BNG can be established when the market for off-site credits, and therefore the costs of delivering the 10% mandatory BNG system are still emerging.</w:t>
      </w:r>
    </w:p>
    <w:p w14:paraId="4E4714C8" w14:textId="77777777" w:rsidR="00AF492B" w:rsidRPr="00AF492B" w:rsidRDefault="00AF492B" w:rsidP="00AF492B">
      <w:pPr>
        <w:pStyle w:val="ListParagraph"/>
        <w:rPr>
          <w:rFonts w:ascii="Arial" w:hAnsi="Arial" w:cs="Arial"/>
        </w:rPr>
      </w:pPr>
    </w:p>
    <w:p w14:paraId="0294DED2" w14:textId="77777777" w:rsidR="00AF492B" w:rsidRPr="00AF492B" w:rsidRDefault="00AF492B" w:rsidP="00AF492B">
      <w:pPr>
        <w:pStyle w:val="ListParagraph"/>
        <w:numPr>
          <w:ilvl w:val="0"/>
          <w:numId w:val="8"/>
        </w:numPr>
        <w:rPr>
          <w:rFonts w:ascii="Arial" w:hAnsi="Arial" w:cs="Arial"/>
        </w:rPr>
      </w:pPr>
      <w:r w:rsidRPr="00AF492B">
        <w:rPr>
          <w:rFonts w:ascii="Arial" w:hAnsi="Arial" w:cs="Arial"/>
        </w:rPr>
        <w:t xml:space="preserve">HBF notes that the proposed policy wording and supporting text will need to reflect both that the Environment Act which requires 10% Biodiversity Net Gain, and the emerging policy, </w:t>
      </w:r>
      <w:proofErr w:type="gramStart"/>
      <w:r w:rsidRPr="00AF492B">
        <w:rPr>
          <w:rFonts w:ascii="Arial" w:hAnsi="Arial" w:cs="Arial"/>
        </w:rPr>
        <w:t>guidance</w:t>
      </w:r>
      <w:proofErr w:type="gramEnd"/>
      <w:r w:rsidRPr="00AF492B">
        <w:rPr>
          <w:rFonts w:ascii="Arial" w:hAnsi="Arial" w:cs="Arial"/>
        </w:rPr>
        <w:t xml:space="preserve"> and best practice on how Mandatory Biodiversity Net Gain will be implemented.  There is an important policy distinction to made between the national mandatory requirements and any optional further requests from LPAs to go further and faster. </w:t>
      </w:r>
      <w:proofErr w:type="gramStart"/>
      <w:r w:rsidRPr="00AF492B">
        <w:rPr>
          <w:rFonts w:ascii="Arial" w:hAnsi="Arial" w:cs="Arial"/>
        </w:rPr>
        <w:t>In particular the</w:t>
      </w:r>
      <w:proofErr w:type="gramEnd"/>
      <w:r w:rsidRPr="00AF492B">
        <w:rPr>
          <w:rFonts w:ascii="Arial" w:hAnsi="Arial" w:cs="Arial"/>
        </w:rPr>
        <w:t xml:space="preserve"> 10% national target is non-negotiable from a viability perspective, but policies seeking over 10% can be challenged on viability grounds.  This distinction needs to be recognised within the Local Plan.</w:t>
      </w:r>
    </w:p>
    <w:p w14:paraId="2434CFF8" w14:textId="77777777" w:rsidR="00AF492B" w:rsidRPr="00AF492B" w:rsidRDefault="00AF492B" w:rsidP="00AF492B">
      <w:pPr>
        <w:pStyle w:val="ListParagraph"/>
        <w:rPr>
          <w:rFonts w:ascii="Arial" w:hAnsi="Arial" w:cs="Arial"/>
        </w:rPr>
      </w:pPr>
    </w:p>
    <w:p w14:paraId="191B20FC" w14:textId="77777777" w:rsidR="00AF492B" w:rsidRPr="00AF492B" w:rsidRDefault="00AF492B" w:rsidP="00AF492B">
      <w:pPr>
        <w:pStyle w:val="ListParagraph"/>
        <w:numPr>
          <w:ilvl w:val="0"/>
          <w:numId w:val="8"/>
        </w:numPr>
        <w:rPr>
          <w:rFonts w:ascii="Arial" w:hAnsi="Arial" w:cs="Arial"/>
        </w:rPr>
      </w:pPr>
      <w:r w:rsidRPr="00AF492B">
        <w:rPr>
          <w:rFonts w:ascii="Arial" w:hAnsi="Arial" w:cs="Arial"/>
        </w:rPr>
        <w:t xml:space="preserve">HBF suggest particular care is needed in terminology to ensure the Sandwell policy reflects the national policy and guidance.  For example, </w:t>
      </w:r>
      <w:proofErr w:type="spellStart"/>
      <w:r w:rsidRPr="00AF492B">
        <w:rPr>
          <w:rFonts w:ascii="Arial" w:hAnsi="Arial" w:cs="Arial"/>
        </w:rPr>
        <w:t>on site</w:t>
      </w:r>
      <w:proofErr w:type="spellEnd"/>
      <w:r w:rsidRPr="00AF492B">
        <w:rPr>
          <w:rFonts w:ascii="Arial" w:hAnsi="Arial" w:cs="Arial"/>
        </w:rPr>
        <w:t xml:space="preserve"> and off-site biodiversity is referred to as units, and the statutory national credit system </w:t>
      </w:r>
      <w:r w:rsidRPr="00AF492B">
        <w:rPr>
          <w:rFonts w:ascii="Arial" w:hAnsi="Arial" w:cs="Arial"/>
        </w:rPr>
        <w:lastRenderedPageBreak/>
        <w:t xml:space="preserve">of last resort is referred to as credit.  It is important for the wording of the policy to accurately reflect the legalisation and guidance.  </w:t>
      </w:r>
    </w:p>
    <w:p w14:paraId="40CD1D64" w14:textId="77777777" w:rsidR="00AF492B" w:rsidRPr="00AF492B" w:rsidRDefault="00AF492B" w:rsidP="003316C8">
      <w:pPr>
        <w:pStyle w:val="ListParagraph"/>
        <w:rPr>
          <w:rFonts w:ascii="Arial" w:hAnsi="Arial" w:cs="Arial"/>
        </w:rPr>
      </w:pPr>
    </w:p>
    <w:p w14:paraId="17ED67DD" w14:textId="6E299E51" w:rsidR="00AF492B" w:rsidRPr="00AF492B" w:rsidRDefault="00AF492B" w:rsidP="00AF492B">
      <w:pPr>
        <w:pStyle w:val="ListParagraph"/>
        <w:numPr>
          <w:ilvl w:val="0"/>
          <w:numId w:val="8"/>
        </w:numPr>
        <w:rPr>
          <w:rFonts w:ascii="Arial" w:hAnsi="Arial" w:cs="Arial"/>
        </w:rPr>
      </w:pPr>
      <w:r w:rsidRPr="00AF492B">
        <w:rPr>
          <w:rFonts w:ascii="Arial" w:hAnsi="Arial" w:cs="Arial"/>
        </w:rPr>
        <w:t xml:space="preserve">HBF question the wording of criteria </w:t>
      </w:r>
      <w:r w:rsidR="00C51626">
        <w:rPr>
          <w:rFonts w:ascii="Arial" w:hAnsi="Arial" w:cs="Arial"/>
        </w:rPr>
        <w:t>five</w:t>
      </w:r>
      <w:r w:rsidRPr="00AF492B">
        <w:rPr>
          <w:rFonts w:ascii="Arial" w:hAnsi="Arial" w:cs="Arial"/>
        </w:rPr>
        <w:t>, as it should be for the BNG plan to set out what happens if monitoring shows any BNG measure are ineffective.  For large and complex sites where the development is phased, the guidance is clear that the 10% must be delivered at the end of the development, and this may not result in 10% BNG on each phase.</w:t>
      </w:r>
    </w:p>
    <w:p w14:paraId="04A81F5F" w14:textId="77777777" w:rsidR="0036456B" w:rsidRPr="0036456B" w:rsidRDefault="0036456B" w:rsidP="00683590">
      <w:pPr>
        <w:pStyle w:val="ListParagraph"/>
        <w:rPr>
          <w:rFonts w:ascii="Arial" w:hAnsi="Arial" w:cs="Arial"/>
        </w:rPr>
      </w:pPr>
    </w:p>
    <w:p w14:paraId="40C844AC" w14:textId="77777777" w:rsidR="0036456B" w:rsidRPr="0036456B" w:rsidRDefault="0036456B" w:rsidP="0036456B">
      <w:pPr>
        <w:pStyle w:val="ListParagraph"/>
        <w:numPr>
          <w:ilvl w:val="0"/>
          <w:numId w:val="8"/>
        </w:numPr>
        <w:rPr>
          <w:rFonts w:ascii="Arial" w:hAnsi="Arial" w:cs="Arial"/>
        </w:rPr>
      </w:pPr>
      <w:r w:rsidRPr="0036456B">
        <w:rPr>
          <w:rFonts w:ascii="Arial" w:hAnsi="Arial" w:cs="Arial"/>
        </w:rPr>
        <w:t xml:space="preserve">It is also important to note that for large and complex sites where the development is phased, the guidance is clear that the 10% must be delivered at the end of the development, and this may not result in 10% BNG on each phase.  Additional advice on phased development has been provided in the new BNG PPG. </w:t>
      </w:r>
    </w:p>
    <w:p w14:paraId="5DFF470F" w14:textId="77777777" w:rsidR="0036456B" w:rsidRPr="0036456B" w:rsidRDefault="0036456B" w:rsidP="00DE57E8">
      <w:pPr>
        <w:pStyle w:val="ListParagraph"/>
        <w:rPr>
          <w:rFonts w:ascii="Arial" w:hAnsi="Arial" w:cs="Arial"/>
        </w:rPr>
      </w:pPr>
    </w:p>
    <w:p w14:paraId="2555FCB8" w14:textId="77777777" w:rsidR="0036456B" w:rsidRPr="0036456B" w:rsidRDefault="0036456B" w:rsidP="0036456B">
      <w:pPr>
        <w:pStyle w:val="ListParagraph"/>
        <w:numPr>
          <w:ilvl w:val="0"/>
          <w:numId w:val="8"/>
        </w:numPr>
        <w:rPr>
          <w:rFonts w:ascii="Arial" w:hAnsi="Arial" w:cs="Arial"/>
        </w:rPr>
      </w:pPr>
      <w:r w:rsidRPr="0036456B">
        <w:rPr>
          <w:rFonts w:ascii="Arial" w:hAnsi="Arial" w:cs="Arial"/>
        </w:rPr>
        <w:t xml:space="preserve">The costs of BNG must also be considered as part of the whole plan viability assessment and should be specified as a single specific item, and not combined into a generic s106 costs item.  There are significant additional costs associated with biodiversity net gain, which should be fully accounted for in the Council’s viability assessment, some of which remain unknown at this time. It is important that BNG does not prevent, </w:t>
      </w:r>
      <w:proofErr w:type="gramStart"/>
      <w:r w:rsidRPr="0036456B">
        <w:rPr>
          <w:rFonts w:ascii="Arial" w:hAnsi="Arial" w:cs="Arial"/>
        </w:rPr>
        <w:t>delay</w:t>
      </w:r>
      <w:proofErr w:type="gramEnd"/>
      <w:r w:rsidRPr="0036456B">
        <w:rPr>
          <w:rFonts w:ascii="Arial" w:hAnsi="Arial" w:cs="Arial"/>
        </w:rPr>
        <w:t xml:space="preserve"> or reduce housing delivery.  The costs relate both the financial costs </w:t>
      </w:r>
      <w:proofErr w:type="gramStart"/>
      <w:r w:rsidRPr="0036456B">
        <w:rPr>
          <w:rFonts w:ascii="Arial" w:hAnsi="Arial" w:cs="Arial"/>
        </w:rPr>
        <w:t>and also</w:t>
      </w:r>
      <w:proofErr w:type="gramEnd"/>
      <w:r w:rsidRPr="0036456B">
        <w:rPr>
          <w:rFonts w:ascii="Arial" w:hAnsi="Arial" w:cs="Arial"/>
        </w:rPr>
        <w:t xml:space="preserve"> land take- which will impact on densities achievable if BNG is provided on site.</w:t>
      </w:r>
    </w:p>
    <w:p w14:paraId="6ECCD264" w14:textId="77777777" w:rsidR="0036456B" w:rsidRPr="0036456B" w:rsidRDefault="0036456B" w:rsidP="00DE57E8">
      <w:pPr>
        <w:pStyle w:val="ListParagraph"/>
        <w:rPr>
          <w:rFonts w:ascii="Arial" w:hAnsi="Arial" w:cs="Arial"/>
        </w:rPr>
      </w:pPr>
    </w:p>
    <w:p w14:paraId="42B04555" w14:textId="3C5C8F70" w:rsidR="0036456B" w:rsidRPr="0036456B" w:rsidRDefault="0036456B" w:rsidP="0036456B">
      <w:pPr>
        <w:pStyle w:val="ListParagraph"/>
        <w:numPr>
          <w:ilvl w:val="0"/>
          <w:numId w:val="8"/>
        </w:numPr>
        <w:rPr>
          <w:rFonts w:ascii="Arial" w:hAnsi="Arial" w:cs="Arial"/>
        </w:rPr>
      </w:pPr>
      <w:r w:rsidRPr="0036456B">
        <w:rPr>
          <w:rFonts w:ascii="Arial" w:hAnsi="Arial" w:cs="Arial"/>
        </w:rPr>
        <w:t xml:space="preserve">As this is still a new policy area and the market for off-site provision, and statutory credits are not yet known, any figure used for BNG costs will need to be kept under review as BNG implementation progresses and a greater understanding of actual costs become available.  The Whole Plan Viability Assessment must clearly set out how it considered the implications of mandatory BNG and how it as arrived at using the most up to date BNG costs information available. </w:t>
      </w:r>
      <w:r w:rsidR="005B6556">
        <w:rPr>
          <w:rFonts w:ascii="Arial" w:hAnsi="Arial" w:cs="Arial"/>
        </w:rPr>
        <w:t xml:space="preserve"> There may need to be further additional flexibility in policies elsewhere in the Plan to reflect the non-negotiable </w:t>
      </w:r>
      <w:r w:rsidR="00A63CF9">
        <w:rPr>
          <w:rFonts w:ascii="Arial" w:hAnsi="Arial" w:cs="Arial"/>
        </w:rPr>
        <w:t xml:space="preserve">nature of 10% </w:t>
      </w:r>
      <w:r w:rsidR="005B6556">
        <w:rPr>
          <w:rFonts w:ascii="Arial" w:hAnsi="Arial" w:cs="Arial"/>
        </w:rPr>
        <w:t>BNG</w:t>
      </w:r>
      <w:r w:rsidR="00A63CF9">
        <w:rPr>
          <w:rFonts w:ascii="Arial" w:hAnsi="Arial" w:cs="Arial"/>
        </w:rPr>
        <w:t xml:space="preserve"> costs.</w:t>
      </w:r>
      <w:r w:rsidR="005B6556">
        <w:rPr>
          <w:rFonts w:ascii="Arial" w:hAnsi="Arial" w:cs="Arial"/>
        </w:rPr>
        <w:t xml:space="preserve"> </w:t>
      </w:r>
    </w:p>
    <w:p w14:paraId="7F60A338" w14:textId="77777777" w:rsidR="0036456B" w:rsidRPr="0036456B" w:rsidRDefault="0036456B" w:rsidP="00DE57E8">
      <w:pPr>
        <w:pStyle w:val="ListParagraph"/>
        <w:rPr>
          <w:rFonts w:ascii="Arial" w:hAnsi="Arial" w:cs="Arial"/>
        </w:rPr>
      </w:pPr>
    </w:p>
    <w:p w14:paraId="39629747" w14:textId="77777777" w:rsidR="0036456B" w:rsidRPr="0036456B" w:rsidRDefault="0036456B" w:rsidP="0036456B">
      <w:pPr>
        <w:pStyle w:val="ListParagraph"/>
        <w:numPr>
          <w:ilvl w:val="0"/>
          <w:numId w:val="8"/>
        </w:numPr>
        <w:rPr>
          <w:rFonts w:ascii="Arial" w:hAnsi="Arial" w:cs="Arial"/>
        </w:rPr>
      </w:pPr>
      <w:r w:rsidRPr="0036456B">
        <w:rPr>
          <w:rFonts w:ascii="Arial" w:hAnsi="Arial" w:cs="Arial"/>
        </w:rPr>
        <w:t xml:space="preserve">HBF suggest that there is also a need for this policy and supporting text to say more about how BNG will be considered in relation to applications in advance of the Local Nature Recovery Strategies.  As the LNRS emerges it will be important for this Local Plan to be kept under review and further public consultation on the interaction between the two documents and/or changes to Local Plan policy and/or its implementation, to reflect the LNRS may be needed.  </w:t>
      </w:r>
    </w:p>
    <w:p w14:paraId="1652430E" w14:textId="77777777" w:rsidR="0036456B" w:rsidRPr="0036456B" w:rsidRDefault="0036456B" w:rsidP="00A63CF9">
      <w:pPr>
        <w:pStyle w:val="ListParagraph"/>
        <w:rPr>
          <w:rFonts w:ascii="Arial" w:hAnsi="Arial" w:cs="Arial"/>
        </w:rPr>
      </w:pPr>
    </w:p>
    <w:p w14:paraId="6CE335C4" w14:textId="77777777" w:rsidR="0036456B" w:rsidRPr="0036456B" w:rsidRDefault="0036456B" w:rsidP="0036456B">
      <w:pPr>
        <w:pStyle w:val="ListParagraph"/>
        <w:numPr>
          <w:ilvl w:val="0"/>
          <w:numId w:val="8"/>
        </w:numPr>
        <w:rPr>
          <w:rFonts w:ascii="Arial" w:hAnsi="Arial" w:cs="Arial"/>
        </w:rPr>
      </w:pPr>
      <w:r w:rsidRPr="0036456B">
        <w:rPr>
          <w:rFonts w:ascii="Arial" w:hAnsi="Arial" w:cs="Arial"/>
        </w:rPr>
        <w:t xml:space="preserve">HBF would also encourage the Council to ensure the Local Plan fully considers the new BNG requirements in relation to site allocations. This is likely to require undertaking an assessment of the baseline to support the allocation to enable an understanding the BNG requirements for a site to be allocated and the impact this may have on viability and other policy requirements and considerations.  It will be important to understand the BNG costs of mandatory BNG as this is non-negotiable and as such may impact on </w:t>
      </w:r>
      <w:r w:rsidRPr="0036456B">
        <w:rPr>
          <w:rFonts w:ascii="Arial" w:hAnsi="Arial" w:cs="Arial"/>
        </w:rPr>
        <w:lastRenderedPageBreak/>
        <w:t xml:space="preserve">the viability of the site and its ability to deliver against other policy requirements such as affordable housing or other s106 asks.  </w:t>
      </w:r>
    </w:p>
    <w:p w14:paraId="63929D8E" w14:textId="77777777" w:rsidR="0036456B" w:rsidRPr="0036456B" w:rsidRDefault="0036456B" w:rsidP="00A63CF9">
      <w:pPr>
        <w:pStyle w:val="ListParagraph"/>
        <w:rPr>
          <w:rFonts w:ascii="Arial" w:hAnsi="Arial" w:cs="Arial"/>
        </w:rPr>
      </w:pPr>
    </w:p>
    <w:p w14:paraId="0AB34C72" w14:textId="588172D3" w:rsidR="0036456B" w:rsidRPr="0036456B" w:rsidRDefault="0036456B" w:rsidP="0036456B">
      <w:pPr>
        <w:pStyle w:val="ListParagraph"/>
        <w:numPr>
          <w:ilvl w:val="0"/>
          <w:numId w:val="8"/>
        </w:numPr>
        <w:rPr>
          <w:rFonts w:ascii="Arial" w:hAnsi="Arial" w:cs="Arial"/>
        </w:rPr>
      </w:pPr>
      <w:r w:rsidRPr="0036456B">
        <w:rPr>
          <w:rFonts w:ascii="Arial" w:hAnsi="Arial" w:cs="Arial"/>
        </w:rPr>
        <w:t xml:space="preserve">HBF also notes that there seems to be significant potential for confusion around environmental hierarchy, and suggest particular care is needed to avoid any confusion between the well-established mitigation hierarchy and the new BNG hierarchy.   There is need for the policy wording and/or supporting text to be clearer about the differentiation between the mitigation hierarchy (which seeks to avoid harm in the first place, then mitigate and only then compensate it in relation to protected habitats) and the BNG delivery hierarchy (which prioritises on-site BNG delivery, then off-site units and finally allows for statutory credits).  There seems to be significant potential for confusion between the two difference hierarchies.  HBF therefore suggest that the Council should take particular care to explain how the requirements of the two-part BNG hierarchy work in different ways and that they seek to achieve different aims.    </w:t>
      </w:r>
    </w:p>
    <w:p w14:paraId="71FF73C8" w14:textId="77777777" w:rsidR="0036456B" w:rsidRPr="00351AA1" w:rsidRDefault="0036456B" w:rsidP="00351AA1">
      <w:pPr>
        <w:pStyle w:val="ListParagraph"/>
        <w:rPr>
          <w:rFonts w:ascii="Arial" w:hAnsi="Arial" w:cs="Arial"/>
        </w:rPr>
      </w:pPr>
    </w:p>
    <w:p w14:paraId="7009BE35" w14:textId="77777777" w:rsidR="0036456B" w:rsidRDefault="0036456B" w:rsidP="0036456B">
      <w:pPr>
        <w:pStyle w:val="ListParagraph"/>
        <w:numPr>
          <w:ilvl w:val="0"/>
          <w:numId w:val="8"/>
        </w:numPr>
        <w:rPr>
          <w:rFonts w:ascii="Arial" w:hAnsi="Arial" w:cs="Arial"/>
        </w:rPr>
      </w:pPr>
      <w:r w:rsidRPr="0036456B">
        <w:rPr>
          <w:rFonts w:ascii="Arial" w:hAnsi="Arial" w:cs="Arial"/>
        </w:rPr>
        <w:t>BNG will also impacts on the density of housing schemes that can be provided, as land used for on-site BNG is not available for housing. This may require larger and/or additional housing sites to be allocated.</w:t>
      </w:r>
    </w:p>
    <w:p w14:paraId="3939EF44" w14:textId="77777777" w:rsidR="009942E3" w:rsidRPr="009942E3" w:rsidRDefault="009942E3" w:rsidP="009942E3">
      <w:pPr>
        <w:pStyle w:val="ListParagraph"/>
        <w:rPr>
          <w:rFonts w:ascii="Arial" w:hAnsi="Arial" w:cs="Arial"/>
        </w:rPr>
      </w:pPr>
    </w:p>
    <w:p w14:paraId="59FF63F0" w14:textId="77777777" w:rsidR="009942E3" w:rsidRDefault="009942E3" w:rsidP="009942E3">
      <w:pPr>
        <w:pStyle w:val="ListParagraph"/>
        <w:rPr>
          <w:rFonts w:ascii="Arial" w:hAnsi="Arial" w:cs="Arial"/>
          <w:b/>
          <w:bCs/>
        </w:rPr>
      </w:pPr>
      <w:r w:rsidRPr="000508A1">
        <w:rPr>
          <w:rFonts w:ascii="Arial" w:hAnsi="Arial" w:cs="Arial"/>
          <w:b/>
          <w:bCs/>
        </w:rPr>
        <w:t xml:space="preserve">Policy SNE3 – Provision, Retention and Protection of Trees, </w:t>
      </w:r>
      <w:proofErr w:type="gramStart"/>
      <w:r w:rsidRPr="000508A1">
        <w:rPr>
          <w:rFonts w:ascii="Arial" w:hAnsi="Arial" w:cs="Arial"/>
          <w:b/>
          <w:bCs/>
        </w:rPr>
        <w:t>Woodlands</w:t>
      </w:r>
      <w:proofErr w:type="gramEnd"/>
      <w:r w:rsidRPr="000508A1">
        <w:rPr>
          <w:rFonts w:ascii="Arial" w:hAnsi="Arial" w:cs="Arial"/>
          <w:b/>
          <w:bCs/>
        </w:rPr>
        <w:t xml:space="preserve"> and Hedgerows</w:t>
      </w:r>
    </w:p>
    <w:p w14:paraId="4A31245E" w14:textId="77777777" w:rsidR="004378A9" w:rsidRPr="004378A9" w:rsidRDefault="004378A9" w:rsidP="009942E3">
      <w:pPr>
        <w:pStyle w:val="ListParagraph"/>
        <w:rPr>
          <w:rFonts w:ascii="Arial" w:hAnsi="Arial" w:cs="Arial"/>
          <w:i/>
          <w:iCs/>
        </w:rPr>
      </w:pPr>
    </w:p>
    <w:p w14:paraId="598A5C77" w14:textId="57FE71E4" w:rsidR="004378A9" w:rsidRPr="004378A9" w:rsidRDefault="004378A9" w:rsidP="009942E3">
      <w:pPr>
        <w:pStyle w:val="ListParagraph"/>
        <w:rPr>
          <w:rFonts w:ascii="Arial" w:hAnsi="Arial" w:cs="Arial"/>
          <w:i/>
          <w:iCs/>
        </w:rPr>
      </w:pPr>
      <w:r w:rsidRPr="004378A9">
        <w:rPr>
          <w:rFonts w:ascii="Arial" w:hAnsi="Arial" w:cs="Arial"/>
          <w:i/>
          <w:iCs/>
        </w:rPr>
        <w:t>The Policy is not considered to be sound as it is not justified or effective or in line with national policy.</w:t>
      </w:r>
    </w:p>
    <w:p w14:paraId="35A9C9AD" w14:textId="77777777" w:rsidR="009942E3" w:rsidRPr="000508A1" w:rsidRDefault="009942E3" w:rsidP="009942E3">
      <w:pPr>
        <w:pStyle w:val="ListParagraph"/>
        <w:rPr>
          <w:rFonts w:ascii="Arial" w:hAnsi="Arial" w:cs="Arial"/>
          <w:b/>
          <w:bCs/>
        </w:rPr>
      </w:pPr>
    </w:p>
    <w:p w14:paraId="4DAAC35E" w14:textId="5F588938" w:rsidR="009942E3" w:rsidRDefault="009942E3" w:rsidP="009942E3">
      <w:pPr>
        <w:pStyle w:val="ListParagraph"/>
        <w:numPr>
          <w:ilvl w:val="0"/>
          <w:numId w:val="8"/>
        </w:numPr>
        <w:spacing w:line="276" w:lineRule="auto"/>
        <w:rPr>
          <w:rFonts w:ascii="Arial" w:hAnsi="Arial" w:cs="Arial"/>
        </w:rPr>
      </w:pPr>
      <w:r w:rsidRPr="000E6EF4">
        <w:rPr>
          <w:rFonts w:ascii="Arial" w:hAnsi="Arial" w:cs="Arial"/>
        </w:rPr>
        <w:t xml:space="preserve">HBF </w:t>
      </w:r>
      <w:r w:rsidR="004378A9">
        <w:rPr>
          <w:rFonts w:ascii="Arial" w:hAnsi="Arial" w:cs="Arial"/>
        </w:rPr>
        <w:t xml:space="preserve">continue to </w:t>
      </w:r>
      <w:r>
        <w:rPr>
          <w:rFonts w:ascii="Arial" w:hAnsi="Arial" w:cs="Arial"/>
        </w:rPr>
        <w:t xml:space="preserve">question </w:t>
      </w:r>
      <w:r w:rsidRPr="000E6EF4">
        <w:rPr>
          <w:rFonts w:ascii="Arial" w:hAnsi="Arial" w:cs="Arial"/>
        </w:rPr>
        <w:t xml:space="preserve">how the Council arrived at the requirement for </w:t>
      </w:r>
      <w:r>
        <w:rPr>
          <w:rFonts w:ascii="Arial" w:hAnsi="Arial" w:cs="Arial"/>
        </w:rPr>
        <w:t xml:space="preserve">3 replacement trees for everyone lost and what (if any) assumptions have been </w:t>
      </w:r>
      <w:r w:rsidRPr="000E6EF4">
        <w:rPr>
          <w:rFonts w:ascii="Arial" w:hAnsi="Arial" w:cs="Arial"/>
        </w:rPr>
        <w:t>relation to the size and standard of trees. HBF considers that</w:t>
      </w:r>
      <w:r>
        <w:rPr>
          <w:rFonts w:ascii="Arial" w:hAnsi="Arial" w:cs="Arial"/>
        </w:rPr>
        <w:t xml:space="preserve"> a three for one replacement policy could </w:t>
      </w:r>
      <w:r w:rsidRPr="000E6EF4">
        <w:rPr>
          <w:rFonts w:ascii="Arial" w:hAnsi="Arial" w:cs="Arial"/>
        </w:rPr>
        <w:t xml:space="preserve">impact on the land uptake for any development and may have implications for the density of developments, </w:t>
      </w:r>
      <w:r>
        <w:rPr>
          <w:rFonts w:ascii="Arial" w:hAnsi="Arial" w:cs="Arial"/>
        </w:rPr>
        <w:t xml:space="preserve">which in turn </w:t>
      </w:r>
      <w:r w:rsidRPr="000E6EF4">
        <w:rPr>
          <w:rFonts w:ascii="Arial" w:hAnsi="Arial" w:cs="Arial"/>
        </w:rPr>
        <w:t xml:space="preserve">has </w:t>
      </w:r>
      <w:r>
        <w:rPr>
          <w:rFonts w:ascii="Arial" w:hAnsi="Arial" w:cs="Arial"/>
        </w:rPr>
        <w:t xml:space="preserve">the </w:t>
      </w:r>
      <w:r w:rsidRPr="000E6EF4">
        <w:rPr>
          <w:rFonts w:ascii="Arial" w:hAnsi="Arial" w:cs="Arial"/>
        </w:rPr>
        <w:t>potential to have a</w:t>
      </w:r>
      <w:r>
        <w:rPr>
          <w:rFonts w:ascii="Arial" w:hAnsi="Arial" w:cs="Arial"/>
        </w:rPr>
        <w:t xml:space="preserve">n </w:t>
      </w:r>
      <w:r w:rsidRPr="000E6EF4">
        <w:rPr>
          <w:rFonts w:ascii="Arial" w:hAnsi="Arial" w:cs="Arial"/>
        </w:rPr>
        <w:t xml:space="preserve">impact on the viability of developments. </w:t>
      </w:r>
    </w:p>
    <w:p w14:paraId="2B15DEF7" w14:textId="77777777" w:rsidR="009942E3" w:rsidRDefault="009942E3" w:rsidP="009942E3">
      <w:pPr>
        <w:pStyle w:val="ListParagraph"/>
        <w:spacing w:line="276" w:lineRule="auto"/>
        <w:rPr>
          <w:rFonts w:ascii="Arial" w:hAnsi="Arial" w:cs="Arial"/>
        </w:rPr>
      </w:pPr>
    </w:p>
    <w:p w14:paraId="01178034" w14:textId="77777777" w:rsidR="009942E3" w:rsidRDefault="009942E3" w:rsidP="009942E3">
      <w:pPr>
        <w:pStyle w:val="ListParagraph"/>
        <w:numPr>
          <w:ilvl w:val="0"/>
          <w:numId w:val="8"/>
        </w:numPr>
        <w:spacing w:line="276" w:lineRule="auto"/>
        <w:rPr>
          <w:rFonts w:ascii="Arial" w:hAnsi="Arial" w:cs="Arial"/>
        </w:rPr>
      </w:pPr>
      <w:r>
        <w:rPr>
          <w:rFonts w:ascii="Arial" w:hAnsi="Arial" w:cs="Arial"/>
        </w:rPr>
        <w:t xml:space="preserve">HBF suggest further flexibility is needed in the policy, for example hedgerow removal may be an essential to gain access to a site, but BNG policies which require 10% net gain from the pre-development baseline so any loss would already have to be compensated.  HBF suggest the Council should give more thought to </w:t>
      </w:r>
      <w:r w:rsidRPr="00FD1DD9">
        <w:rPr>
          <w:rFonts w:ascii="Arial" w:hAnsi="Arial" w:cs="Arial"/>
        </w:rPr>
        <w:t>how the suite of environmental policies are intended to work together so that developers are completely clear what is expected of them, and to ensure that the policies do not serve to make development undeliverable.</w:t>
      </w:r>
    </w:p>
    <w:p w14:paraId="6DDE7FE1" w14:textId="77777777" w:rsidR="00FF04CF" w:rsidRDefault="00FF04CF" w:rsidP="00FF04CF">
      <w:pPr>
        <w:pStyle w:val="ListParagraph"/>
        <w:spacing w:line="276" w:lineRule="auto"/>
        <w:rPr>
          <w:rFonts w:ascii="Arial" w:hAnsi="Arial" w:cs="Arial"/>
        </w:rPr>
      </w:pPr>
    </w:p>
    <w:p w14:paraId="2E3069D5" w14:textId="51992D41" w:rsidR="00FF04CF" w:rsidRDefault="00FF04CF" w:rsidP="00FF04CF">
      <w:pPr>
        <w:pStyle w:val="ListParagraph"/>
        <w:spacing w:line="276" w:lineRule="auto"/>
        <w:rPr>
          <w:rFonts w:ascii="Arial" w:hAnsi="Arial" w:cs="Arial"/>
          <w:b/>
          <w:bCs/>
        </w:rPr>
      </w:pPr>
      <w:r w:rsidRPr="00FD1DD9">
        <w:rPr>
          <w:rFonts w:ascii="Arial" w:hAnsi="Arial" w:cs="Arial"/>
          <w:b/>
          <w:bCs/>
        </w:rPr>
        <w:t xml:space="preserve">Policy SCC1 – </w:t>
      </w:r>
      <w:r w:rsidR="007C52BD">
        <w:rPr>
          <w:rFonts w:ascii="Arial" w:hAnsi="Arial" w:cs="Arial"/>
          <w:b/>
          <w:bCs/>
        </w:rPr>
        <w:t xml:space="preserve">Energy Infrastructure </w:t>
      </w:r>
    </w:p>
    <w:p w14:paraId="29EF47E8" w14:textId="77777777" w:rsidR="00FF04CF" w:rsidRPr="00FF04CF" w:rsidRDefault="00FF04CF" w:rsidP="00FF04CF">
      <w:pPr>
        <w:pStyle w:val="ListParagraph"/>
        <w:spacing w:line="276" w:lineRule="auto"/>
        <w:rPr>
          <w:rFonts w:ascii="Arial" w:hAnsi="Arial" w:cs="Arial"/>
          <w:i/>
          <w:iCs/>
        </w:rPr>
      </w:pPr>
    </w:p>
    <w:p w14:paraId="16196A1B" w14:textId="5432F28B" w:rsidR="00FF04CF" w:rsidRPr="00FF04CF" w:rsidRDefault="00FF04CF" w:rsidP="00FF04CF">
      <w:pPr>
        <w:pStyle w:val="ListParagraph"/>
        <w:spacing w:line="276" w:lineRule="auto"/>
        <w:rPr>
          <w:rFonts w:ascii="Arial" w:hAnsi="Arial" w:cs="Arial"/>
          <w:i/>
          <w:iCs/>
        </w:rPr>
      </w:pPr>
      <w:r w:rsidRPr="00FF04CF">
        <w:rPr>
          <w:rFonts w:ascii="Arial" w:hAnsi="Arial" w:cs="Arial"/>
          <w:i/>
          <w:iCs/>
        </w:rPr>
        <w:t>The Policy is not considered to be sound as it is not justified or effective or in line with national policy.</w:t>
      </w:r>
    </w:p>
    <w:p w14:paraId="5B695251" w14:textId="77777777" w:rsidR="004378A9" w:rsidRPr="004378A9" w:rsidRDefault="004378A9" w:rsidP="004378A9">
      <w:pPr>
        <w:pStyle w:val="ListParagraph"/>
        <w:rPr>
          <w:rFonts w:ascii="Arial" w:hAnsi="Arial" w:cs="Arial"/>
        </w:rPr>
      </w:pPr>
    </w:p>
    <w:p w14:paraId="70C9DC68" w14:textId="24B64A30" w:rsidR="00CB04F8" w:rsidRDefault="00CB04F8" w:rsidP="00CB04F8">
      <w:pPr>
        <w:pStyle w:val="ListParagraph"/>
        <w:numPr>
          <w:ilvl w:val="0"/>
          <w:numId w:val="8"/>
        </w:numPr>
        <w:rPr>
          <w:rFonts w:ascii="Arial" w:hAnsi="Arial" w:cs="Arial"/>
        </w:rPr>
      </w:pPr>
      <w:r w:rsidRPr="00CB04F8">
        <w:rPr>
          <w:rFonts w:ascii="Arial" w:hAnsi="Arial" w:cs="Arial"/>
        </w:rPr>
        <w:lastRenderedPageBreak/>
        <w:t xml:space="preserve">HBF supports the Government’s intention to set standards for energy efficiency through the Building Regulations. The key to success is standardisation and avoidance of individual Council’s specifying their own policy approach to energy efficiency, which undermines economies of scale for product manufacturers, </w:t>
      </w:r>
      <w:proofErr w:type="gramStart"/>
      <w:r w:rsidRPr="00CB04F8">
        <w:rPr>
          <w:rFonts w:ascii="Arial" w:hAnsi="Arial" w:cs="Arial"/>
        </w:rPr>
        <w:t>suppliers</w:t>
      </w:r>
      <w:proofErr w:type="gramEnd"/>
      <w:r w:rsidRPr="00CB04F8">
        <w:rPr>
          <w:rFonts w:ascii="Arial" w:hAnsi="Arial" w:cs="Arial"/>
        </w:rPr>
        <w:t xml:space="preserve"> and developers. The Councils do not need to set local energy efficiency standards in a Local Plan policy because of the higher levels of energy efficiency standards for new homes set out in the 2021 Part L Interim Uplift and proposals for the 2025 Future Homes Standard</w:t>
      </w:r>
      <w:r w:rsidR="00920DEE">
        <w:rPr>
          <w:rFonts w:ascii="Arial" w:hAnsi="Arial" w:cs="Arial"/>
        </w:rPr>
        <w:t xml:space="preserve">.  There is no need for a </w:t>
      </w:r>
      <w:proofErr w:type="gramStart"/>
      <w:r w:rsidR="00920DEE">
        <w:rPr>
          <w:rFonts w:ascii="Arial" w:hAnsi="Arial" w:cs="Arial"/>
        </w:rPr>
        <w:t>Local Plan</w:t>
      </w:r>
      <w:r w:rsidR="00784472">
        <w:rPr>
          <w:rFonts w:ascii="Arial" w:hAnsi="Arial" w:cs="Arial"/>
        </w:rPr>
        <w:t xml:space="preserve"> policies</w:t>
      </w:r>
      <w:proofErr w:type="gramEnd"/>
      <w:r w:rsidR="00784472">
        <w:rPr>
          <w:rFonts w:ascii="Arial" w:hAnsi="Arial" w:cs="Arial"/>
        </w:rPr>
        <w:t xml:space="preserve"> on </w:t>
      </w:r>
      <w:r w:rsidR="00984D1B">
        <w:rPr>
          <w:rFonts w:ascii="Arial" w:hAnsi="Arial" w:cs="Arial"/>
        </w:rPr>
        <w:t>matters already addressed in Building Regulations.</w:t>
      </w:r>
    </w:p>
    <w:p w14:paraId="5C24036E" w14:textId="77777777" w:rsidR="003F39E0" w:rsidRPr="00CB04F8" w:rsidRDefault="003F39E0" w:rsidP="003F39E0">
      <w:pPr>
        <w:pStyle w:val="ListParagraph"/>
        <w:rPr>
          <w:rFonts w:ascii="Arial" w:hAnsi="Arial" w:cs="Arial"/>
        </w:rPr>
      </w:pPr>
    </w:p>
    <w:p w14:paraId="0D178C2D" w14:textId="0D1C3F57" w:rsidR="004378A9" w:rsidRDefault="003F39E0" w:rsidP="009942E3">
      <w:pPr>
        <w:pStyle w:val="ListParagraph"/>
        <w:numPr>
          <w:ilvl w:val="0"/>
          <w:numId w:val="8"/>
        </w:numPr>
        <w:spacing w:line="276" w:lineRule="auto"/>
        <w:rPr>
          <w:rFonts w:ascii="Arial" w:hAnsi="Arial" w:cs="Arial"/>
        </w:rPr>
      </w:pPr>
      <w:r>
        <w:rPr>
          <w:rFonts w:ascii="Arial" w:hAnsi="Arial" w:cs="Arial"/>
        </w:rPr>
        <w:t xml:space="preserve">HBF question the </w:t>
      </w:r>
      <w:r w:rsidR="00DA68D7">
        <w:rPr>
          <w:rFonts w:ascii="Arial" w:hAnsi="Arial" w:cs="Arial"/>
        </w:rPr>
        <w:t>realism of requiring post-occupancy evaluation as this will require consent of future homeowners and willingness to share their data.  This cannot be assumed.</w:t>
      </w:r>
    </w:p>
    <w:p w14:paraId="76C8B2AB" w14:textId="77777777" w:rsidR="00B8346F" w:rsidRPr="00B8346F" w:rsidRDefault="00B8346F" w:rsidP="00B8346F">
      <w:pPr>
        <w:pStyle w:val="ListParagraph"/>
        <w:rPr>
          <w:rFonts w:ascii="Arial" w:hAnsi="Arial" w:cs="Arial"/>
        </w:rPr>
      </w:pPr>
    </w:p>
    <w:p w14:paraId="03784D4B" w14:textId="721B76A8" w:rsidR="009942E3" w:rsidRPr="000949E9" w:rsidRDefault="00B8346F" w:rsidP="000949E9">
      <w:pPr>
        <w:pStyle w:val="ListParagraph"/>
        <w:rPr>
          <w:rFonts w:ascii="Arial" w:hAnsi="Arial" w:cs="Arial"/>
          <w:b/>
          <w:bCs/>
        </w:rPr>
      </w:pPr>
      <w:r w:rsidRPr="000949E9">
        <w:rPr>
          <w:b/>
          <w:bCs/>
        </w:rPr>
        <w:t>Policy SCC4 - Embodied carbon and waste</w:t>
      </w:r>
    </w:p>
    <w:p w14:paraId="5147EEDE" w14:textId="77777777" w:rsidR="00B8346F" w:rsidRDefault="00B8346F" w:rsidP="00B8346F">
      <w:pPr>
        <w:pStyle w:val="ListParagraph"/>
        <w:spacing w:line="276" w:lineRule="auto"/>
        <w:rPr>
          <w:rFonts w:ascii="Arial" w:hAnsi="Arial" w:cs="Arial"/>
        </w:rPr>
      </w:pPr>
    </w:p>
    <w:p w14:paraId="66E04717" w14:textId="20CC1B81" w:rsidR="00B8346F" w:rsidRPr="00FF04CF" w:rsidRDefault="00B8346F" w:rsidP="00B8346F">
      <w:pPr>
        <w:pStyle w:val="ListParagraph"/>
        <w:spacing w:line="276" w:lineRule="auto"/>
        <w:rPr>
          <w:rFonts w:ascii="Arial" w:hAnsi="Arial" w:cs="Arial"/>
          <w:i/>
          <w:iCs/>
        </w:rPr>
      </w:pPr>
      <w:r w:rsidRPr="00FF04CF">
        <w:rPr>
          <w:rFonts w:ascii="Arial" w:hAnsi="Arial" w:cs="Arial"/>
          <w:i/>
          <w:iCs/>
        </w:rPr>
        <w:t>The Policy is not considered to be sound as it is not justified or effective or in line with national policy.</w:t>
      </w:r>
    </w:p>
    <w:p w14:paraId="081069FF" w14:textId="4514370A" w:rsidR="009942E3" w:rsidRPr="009942E3" w:rsidRDefault="009942E3" w:rsidP="009942E3">
      <w:pPr>
        <w:pStyle w:val="ListParagraph"/>
        <w:rPr>
          <w:rFonts w:ascii="Arial" w:hAnsi="Arial" w:cs="Arial"/>
        </w:rPr>
      </w:pPr>
    </w:p>
    <w:p w14:paraId="408032F0" w14:textId="51447D91" w:rsidR="009942E3" w:rsidRDefault="00B8346F" w:rsidP="0036456B">
      <w:pPr>
        <w:pStyle w:val="ListParagraph"/>
        <w:numPr>
          <w:ilvl w:val="0"/>
          <w:numId w:val="8"/>
        </w:numPr>
        <w:rPr>
          <w:rFonts w:ascii="Arial" w:hAnsi="Arial" w:cs="Arial"/>
        </w:rPr>
      </w:pPr>
      <w:r>
        <w:rPr>
          <w:rFonts w:ascii="Arial" w:hAnsi="Arial" w:cs="Arial"/>
        </w:rPr>
        <w:t xml:space="preserve">HBF are concerned about the </w:t>
      </w:r>
      <w:r w:rsidR="000949E9">
        <w:rPr>
          <w:rFonts w:ascii="Arial" w:hAnsi="Arial" w:cs="Arial"/>
        </w:rPr>
        <w:t>effectiveness</w:t>
      </w:r>
      <w:r>
        <w:rPr>
          <w:rFonts w:ascii="Arial" w:hAnsi="Arial" w:cs="Arial"/>
        </w:rPr>
        <w:t xml:space="preserve"> </w:t>
      </w:r>
      <w:r w:rsidR="000949E9">
        <w:rPr>
          <w:rFonts w:ascii="Arial" w:hAnsi="Arial" w:cs="Arial"/>
        </w:rPr>
        <w:t>and justification of this policy, especially as the Council acknowledge in para 5.63 of the Plan that there is no reference to ‘embodied carbon’ in the NPPF.</w:t>
      </w:r>
    </w:p>
    <w:p w14:paraId="7EF17526" w14:textId="77777777" w:rsidR="00C05A1A" w:rsidRDefault="00C05A1A" w:rsidP="00C05A1A">
      <w:pPr>
        <w:pStyle w:val="ListParagraph"/>
        <w:spacing w:line="276" w:lineRule="auto"/>
        <w:jc w:val="both"/>
        <w:rPr>
          <w:rFonts w:ascii="Arial" w:hAnsi="Arial" w:cs="Arial"/>
          <w:b/>
          <w:bCs/>
        </w:rPr>
      </w:pPr>
    </w:p>
    <w:p w14:paraId="54D62D70" w14:textId="028D39DD" w:rsidR="00C05A1A" w:rsidRDefault="00C05A1A" w:rsidP="00C05A1A">
      <w:pPr>
        <w:pStyle w:val="ListParagraph"/>
        <w:spacing w:line="276" w:lineRule="auto"/>
        <w:jc w:val="both"/>
        <w:rPr>
          <w:rFonts w:ascii="Arial" w:hAnsi="Arial" w:cs="Arial"/>
          <w:b/>
          <w:bCs/>
        </w:rPr>
      </w:pPr>
      <w:r w:rsidRPr="00375752">
        <w:rPr>
          <w:rFonts w:ascii="Arial" w:hAnsi="Arial" w:cs="Arial"/>
          <w:b/>
          <w:bCs/>
        </w:rPr>
        <w:t>Policy SHO1- Delivering Sustainable Housing Growth</w:t>
      </w:r>
    </w:p>
    <w:p w14:paraId="5414E7C0" w14:textId="77777777" w:rsidR="00C05A1A" w:rsidRDefault="00C05A1A" w:rsidP="00C05A1A">
      <w:pPr>
        <w:pStyle w:val="ListParagraph"/>
        <w:spacing w:line="276" w:lineRule="auto"/>
        <w:jc w:val="both"/>
        <w:rPr>
          <w:rFonts w:ascii="Arial" w:hAnsi="Arial" w:cs="Arial"/>
          <w:b/>
          <w:bCs/>
        </w:rPr>
      </w:pPr>
    </w:p>
    <w:p w14:paraId="1B67119F" w14:textId="77777777" w:rsidR="00C05A1A" w:rsidRPr="00FF04CF" w:rsidRDefault="00C05A1A" w:rsidP="00C05A1A">
      <w:pPr>
        <w:pStyle w:val="ListParagraph"/>
        <w:spacing w:line="276" w:lineRule="auto"/>
        <w:rPr>
          <w:rFonts w:ascii="Arial" w:hAnsi="Arial" w:cs="Arial"/>
          <w:i/>
          <w:iCs/>
        </w:rPr>
      </w:pPr>
      <w:r w:rsidRPr="00FF04CF">
        <w:rPr>
          <w:rFonts w:ascii="Arial" w:hAnsi="Arial" w:cs="Arial"/>
          <w:i/>
          <w:iCs/>
        </w:rPr>
        <w:t>The Policy is not considered to be sound as it is not justified or effective or in line with national policy.</w:t>
      </w:r>
    </w:p>
    <w:p w14:paraId="354B0E0E" w14:textId="77777777" w:rsidR="00C05A1A" w:rsidRPr="00375752" w:rsidRDefault="00C05A1A" w:rsidP="00C05A1A">
      <w:pPr>
        <w:pStyle w:val="ListParagraph"/>
        <w:spacing w:line="276" w:lineRule="auto"/>
        <w:jc w:val="both"/>
        <w:rPr>
          <w:rFonts w:ascii="Arial" w:hAnsi="Arial" w:cs="Arial"/>
          <w:b/>
          <w:bCs/>
        </w:rPr>
      </w:pPr>
    </w:p>
    <w:p w14:paraId="4C8AE0F3" w14:textId="77777777" w:rsidR="00E93150" w:rsidRDefault="00E93150" w:rsidP="00E93150">
      <w:pPr>
        <w:pStyle w:val="ListParagraph"/>
        <w:numPr>
          <w:ilvl w:val="0"/>
          <w:numId w:val="8"/>
        </w:numPr>
        <w:spacing w:line="276" w:lineRule="auto"/>
        <w:jc w:val="both"/>
        <w:rPr>
          <w:rFonts w:ascii="Arial" w:hAnsi="Arial" w:cs="Arial"/>
        </w:rPr>
      </w:pPr>
      <w:r>
        <w:rPr>
          <w:rFonts w:ascii="Arial" w:hAnsi="Arial" w:cs="Arial"/>
        </w:rPr>
        <w:t xml:space="preserve">In relation to criteria one, HBF’s detailed comments in relation to the amount of housing needed in Sandwell can be found in our response to policy SD1: </w:t>
      </w:r>
      <w:r w:rsidRPr="00F47593">
        <w:rPr>
          <w:rFonts w:ascii="Arial" w:hAnsi="Arial" w:cs="Arial"/>
        </w:rPr>
        <w:t>Development Strategy</w:t>
      </w:r>
      <w:r>
        <w:rPr>
          <w:rFonts w:ascii="Arial" w:hAnsi="Arial" w:cs="Arial"/>
        </w:rPr>
        <w:t xml:space="preserve">.  In summary, </w:t>
      </w:r>
      <w:r w:rsidRPr="00B97D52">
        <w:rPr>
          <w:rFonts w:ascii="Arial" w:hAnsi="Arial" w:cs="Arial"/>
        </w:rPr>
        <w:t>HBF</w:t>
      </w:r>
      <w:r>
        <w:rPr>
          <w:rFonts w:ascii="Arial" w:hAnsi="Arial" w:cs="Arial"/>
        </w:rPr>
        <w:t xml:space="preserve"> </w:t>
      </w:r>
      <w:r w:rsidRPr="00B97D52">
        <w:rPr>
          <w:rFonts w:ascii="Arial" w:hAnsi="Arial" w:cs="Arial"/>
        </w:rPr>
        <w:t xml:space="preserve">request that the </w:t>
      </w:r>
      <w:r>
        <w:rPr>
          <w:rFonts w:ascii="Arial" w:hAnsi="Arial" w:cs="Arial"/>
        </w:rPr>
        <w:t xml:space="preserve">standard method </w:t>
      </w:r>
      <w:r w:rsidRPr="00B97D52">
        <w:rPr>
          <w:rFonts w:ascii="Arial" w:hAnsi="Arial" w:cs="Arial"/>
        </w:rPr>
        <w:t xml:space="preserve">LHN </w:t>
      </w:r>
      <w:r>
        <w:rPr>
          <w:rFonts w:ascii="Arial" w:hAnsi="Arial" w:cs="Arial"/>
        </w:rPr>
        <w:t xml:space="preserve">should be the </w:t>
      </w:r>
      <w:r w:rsidRPr="00B97D52">
        <w:rPr>
          <w:rFonts w:ascii="Arial" w:hAnsi="Arial" w:cs="Arial"/>
        </w:rPr>
        <w:t xml:space="preserve">minimum starting point </w:t>
      </w:r>
      <w:r>
        <w:rPr>
          <w:rFonts w:ascii="Arial" w:hAnsi="Arial" w:cs="Arial"/>
        </w:rPr>
        <w:t xml:space="preserve">for establishing the housing requirement and the Council should then </w:t>
      </w:r>
      <w:r w:rsidRPr="00B97D52">
        <w:rPr>
          <w:rFonts w:ascii="Arial" w:hAnsi="Arial" w:cs="Arial"/>
        </w:rPr>
        <w:t xml:space="preserve">fully considers all of the issues that may result in a need for a higher housing requirement, including the need to provide a range and choice of sites, the need for flexibility, viability considerations and whether higher levels of open-market housing are required in order to secure increased delivery of affordable housing. </w:t>
      </w:r>
      <w:r>
        <w:rPr>
          <w:rFonts w:ascii="Arial" w:hAnsi="Arial" w:cs="Arial"/>
        </w:rPr>
        <w:t xml:space="preserve"> HBF suggests that these considerations should result in a higher housing requirement for Sandwell which set be set out in the Local Plan.  Only then should consideration around deliverability and housing land supply come into play, the housing requirement should be established first.</w:t>
      </w:r>
    </w:p>
    <w:p w14:paraId="06E49E03" w14:textId="77777777" w:rsidR="00E93150" w:rsidRDefault="00E93150" w:rsidP="00E93150">
      <w:pPr>
        <w:pStyle w:val="ListParagraph"/>
        <w:spacing w:line="276" w:lineRule="auto"/>
        <w:jc w:val="both"/>
        <w:rPr>
          <w:rFonts w:ascii="Arial" w:hAnsi="Arial" w:cs="Arial"/>
        </w:rPr>
      </w:pPr>
    </w:p>
    <w:p w14:paraId="0B8E9F14" w14:textId="77777777" w:rsidR="00E93150" w:rsidRDefault="00E93150" w:rsidP="00E93150">
      <w:pPr>
        <w:pStyle w:val="ListParagraph"/>
        <w:numPr>
          <w:ilvl w:val="0"/>
          <w:numId w:val="8"/>
        </w:numPr>
        <w:spacing w:line="276" w:lineRule="auto"/>
        <w:jc w:val="both"/>
        <w:rPr>
          <w:rFonts w:ascii="Arial" w:hAnsi="Arial" w:cs="Arial"/>
        </w:rPr>
      </w:pPr>
      <w:r>
        <w:rPr>
          <w:rFonts w:ascii="Arial" w:hAnsi="Arial" w:cs="Arial"/>
        </w:rPr>
        <w:t xml:space="preserve">In relation to criteria two, HBF note that the council is looking to phase the plan and delivery of the housing requirement.  For the plan to be effective and justified, a clear explanation of this approach and the reasoning behind for it is needed.  As HBF is of the view that the overall housing requirement for </w:t>
      </w:r>
      <w:r>
        <w:rPr>
          <w:rFonts w:ascii="Arial" w:hAnsi="Arial" w:cs="Arial"/>
        </w:rPr>
        <w:lastRenderedPageBreak/>
        <w:t>Sandwell should be higher, it follows that our view is that the numbers in each phase should be higher too.</w:t>
      </w:r>
    </w:p>
    <w:p w14:paraId="1E4E6B78" w14:textId="77777777" w:rsidR="00223935" w:rsidRPr="00223935" w:rsidRDefault="00223935" w:rsidP="00223935">
      <w:pPr>
        <w:pStyle w:val="ListParagraph"/>
        <w:rPr>
          <w:rFonts w:ascii="Arial" w:hAnsi="Arial" w:cs="Arial"/>
        </w:rPr>
      </w:pPr>
    </w:p>
    <w:p w14:paraId="0EF313E2" w14:textId="74DF3C07" w:rsidR="00223935" w:rsidRDefault="00223935" w:rsidP="00E93150">
      <w:pPr>
        <w:pStyle w:val="ListParagraph"/>
        <w:numPr>
          <w:ilvl w:val="0"/>
          <w:numId w:val="8"/>
        </w:numPr>
        <w:spacing w:line="276" w:lineRule="auto"/>
        <w:jc w:val="both"/>
        <w:rPr>
          <w:rFonts w:ascii="Arial" w:hAnsi="Arial" w:cs="Arial"/>
        </w:rPr>
      </w:pPr>
      <w:r>
        <w:rPr>
          <w:rFonts w:ascii="Arial" w:hAnsi="Arial" w:cs="Arial"/>
        </w:rPr>
        <w:t xml:space="preserve">HBF </w:t>
      </w:r>
      <w:r w:rsidR="00CB6618">
        <w:rPr>
          <w:rFonts w:ascii="Arial" w:hAnsi="Arial" w:cs="Arial"/>
        </w:rPr>
        <w:t xml:space="preserve">remain of the view that the allocation of site for housing should be undertaken in policy and no </w:t>
      </w:r>
      <w:r w:rsidR="00A16164">
        <w:rPr>
          <w:rFonts w:ascii="Arial" w:hAnsi="Arial" w:cs="Arial"/>
        </w:rPr>
        <w:t>relegated</w:t>
      </w:r>
      <w:r w:rsidR="00CB6618">
        <w:rPr>
          <w:rFonts w:ascii="Arial" w:hAnsi="Arial" w:cs="Arial"/>
        </w:rPr>
        <w:t xml:space="preserve"> to an </w:t>
      </w:r>
      <w:r w:rsidR="00A16164">
        <w:rPr>
          <w:rFonts w:ascii="Arial" w:hAnsi="Arial" w:cs="Arial"/>
        </w:rPr>
        <w:t>Appendix.</w:t>
      </w:r>
    </w:p>
    <w:p w14:paraId="24ACA4AF" w14:textId="77777777" w:rsidR="00A16164" w:rsidRPr="00A16164" w:rsidRDefault="00A16164" w:rsidP="00A16164">
      <w:pPr>
        <w:pStyle w:val="ListParagraph"/>
        <w:rPr>
          <w:rFonts w:ascii="Arial" w:hAnsi="Arial" w:cs="Arial"/>
        </w:rPr>
      </w:pPr>
    </w:p>
    <w:p w14:paraId="7899D8C0" w14:textId="77777777" w:rsidR="004C2609" w:rsidRDefault="004C2609" w:rsidP="004C2609">
      <w:pPr>
        <w:pStyle w:val="ListParagraph"/>
        <w:numPr>
          <w:ilvl w:val="0"/>
          <w:numId w:val="8"/>
        </w:numPr>
        <w:spacing w:line="276" w:lineRule="auto"/>
        <w:jc w:val="both"/>
        <w:rPr>
          <w:rFonts w:ascii="Arial" w:hAnsi="Arial" w:cs="Arial"/>
        </w:rPr>
      </w:pPr>
      <w:r>
        <w:rPr>
          <w:rFonts w:ascii="Arial" w:hAnsi="Arial" w:cs="Arial"/>
        </w:rPr>
        <w:t xml:space="preserve">HBF supports the principal of discounted the housing land supply to take account of non-implementation rates.  We note that site with planning permission include a lapse rate of 5% other commitments are SHLAA are discounted by 10% and occupied employment land discounted by 15%, but These figures should be clearly evidenced.  HBF also notes that no allowance is made for non-delivery of windfall </w:t>
      </w:r>
      <w:proofErr w:type="gramStart"/>
      <w:r>
        <w:rPr>
          <w:rFonts w:ascii="Arial" w:hAnsi="Arial" w:cs="Arial"/>
        </w:rPr>
        <w:t>sites</w:t>
      </w:r>
      <w:proofErr w:type="gramEnd"/>
      <w:r>
        <w:rPr>
          <w:rFonts w:ascii="Arial" w:hAnsi="Arial" w:cs="Arial"/>
        </w:rPr>
        <w:t xml:space="preserve"> and we believe one is needed.  HBF would question if the discount rates should in fact be higher especially for sites that are currently occupied in employment use.   The anticipated loss of current employment sites to housing further underlines the need for housing and employment to be considered together, and implications of not meeting with the housing and employment need of the borough present the exceptional circumstances required to justify Green Belt release.</w:t>
      </w:r>
    </w:p>
    <w:p w14:paraId="411D2A06" w14:textId="77777777" w:rsidR="004C2609" w:rsidRPr="00373154" w:rsidRDefault="004C2609" w:rsidP="004C2609">
      <w:pPr>
        <w:pStyle w:val="ListParagraph"/>
        <w:rPr>
          <w:rFonts w:ascii="Arial" w:hAnsi="Arial" w:cs="Arial"/>
        </w:rPr>
      </w:pPr>
    </w:p>
    <w:p w14:paraId="16E1EDCA" w14:textId="77777777" w:rsidR="004C2609" w:rsidRDefault="004C2609" w:rsidP="004C2609">
      <w:pPr>
        <w:pStyle w:val="ListParagraph"/>
        <w:numPr>
          <w:ilvl w:val="0"/>
          <w:numId w:val="8"/>
        </w:numPr>
        <w:spacing w:line="276" w:lineRule="auto"/>
        <w:jc w:val="both"/>
        <w:rPr>
          <w:rFonts w:ascii="Arial" w:hAnsi="Arial" w:cs="Arial"/>
        </w:rPr>
      </w:pPr>
      <w:r>
        <w:rPr>
          <w:rFonts w:ascii="Arial" w:hAnsi="Arial" w:cs="Arial"/>
        </w:rPr>
        <w:t>Para 7.4 of the Plan states that “</w:t>
      </w:r>
      <w:r w:rsidRPr="00DD71FD">
        <w:rPr>
          <w:rFonts w:ascii="Arial" w:hAnsi="Arial" w:cs="Arial"/>
        </w:rPr>
        <w:t>A balanced range of sites has been provided, in terms of size, location and market attractiveness, which will help to maximise housing delivery over the Plan period. Across the borough, 10% of identified supply in the Plan and in the most recent Brownfield Register is on sites no larger than 1ha, which is in accordance with the requirement set out in the NPPF at paragraph 069.</w:t>
      </w:r>
      <w:r>
        <w:rPr>
          <w:rFonts w:ascii="Arial" w:hAnsi="Arial" w:cs="Arial"/>
        </w:rPr>
        <w:t>”</w:t>
      </w:r>
    </w:p>
    <w:p w14:paraId="746C2E67" w14:textId="77777777" w:rsidR="004C2609" w:rsidRPr="00DD71FD" w:rsidRDefault="004C2609" w:rsidP="004C2609">
      <w:pPr>
        <w:pStyle w:val="ListParagraph"/>
        <w:rPr>
          <w:rFonts w:ascii="Arial" w:hAnsi="Arial" w:cs="Arial"/>
        </w:rPr>
      </w:pPr>
    </w:p>
    <w:p w14:paraId="753D2551" w14:textId="77777777" w:rsidR="004C2609" w:rsidRDefault="004C2609" w:rsidP="004C2609">
      <w:pPr>
        <w:pStyle w:val="ListParagraph"/>
        <w:numPr>
          <w:ilvl w:val="0"/>
          <w:numId w:val="8"/>
        </w:numPr>
        <w:spacing w:line="276" w:lineRule="auto"/>
        <w:jc w:val="both"/>
        <w:rPr>
          <w:rFonts w:ascii="Arial" w:hAnsi="Arial" w:cs="Arial"/>
        </w:rPr>
      </w:pPr>
      <w:r>
        <w:rPr>
          <w:rFonts w:ascii="Arial" w:hAnsi="Arial" w:cs="Arial"/>
        </w:rPr>
        <w:t xml:space="preserve">The </w:t>
      </w:r>
      <w:r w:rsidRPr="00C219AC">
        <w:rPr>
          <w:rFonts w:ascii="Arial" w:hAnsi="Arial" w:cs="Arial"/>
        </w:rPr>
        <w:t xml:space="preserve">NPPF requires Local Plans to identify land to accommodate at least 10% of the housing requirement on sites no larger than one hectare, unless there are strong reasons why this cannot be achieved. The HBF has undertaken extensive consultation with its small developer members. One of the chief obstacles for small developers is that funding is extremely difficult to secure without a full, detailed, and implementable planning permission. Securing an implementable planning permission is extremely difficult if small sites are not allocated. Without implementable consents lenders are uneasy about making finance available or the repayment fees and interest rates they set will be very high. Small developers, consequently, need to invest a lot of money and time up-front in the risky business of trying to secure an allocation and a planning permission, and this is money that many small developers do not have. </w:t>
      </w:r>
      <w:r>
        <w:rPr>
          <w:rFonts w:ascii="Arial" w:hAnsi="Arial" w:cs="Arial"/>
        </w:rPr>
        <w:t xml:space="preserve"> </w:t>
      </w:r>
    </w:p>
    <w:p w14:paraId="45CD9707" w14:textId="77777777" w:rsidR="004C2609" w:rsidRPr="00EC74C1" w:rsidRDefault="004C2609" w:rsidP="004C2609">
      <w:pPr>
        <w:pStyle w:val="ListParagraph"/>
        <w:rPr>
          <w:rFonts w:ascii="Arial" w:hAnsi="Arial" w:cs="Arial"/>
        </w:rPr>
      </w:pPr>
    </w:p>
    <w:p w14:paraId="7B27B218" w14:textId="77777777" w:rsidR="004C2609" w:rsidRPr="00EC74C1" w:rsidRDefault="004C2609" w:rsidP="004C2609">
      <w:pPr>
        <w:pStyle w:val="ListParagraph"/>
        <w:numPr>
          <w:ilvl w:val="0"/>
          <w:numId w:val="8"/>
        </w:numPr>
        <w:spacing w:line="276" w:lineRule="auto"/>
        <w:jc w:val="both"/>
        <w:rPr>
          <w:rFonts w:ascii="Arial" w:hAnsi="Arial" w:cs="Arial"/>
        </w:rPr>
      </w:pPr>
      <w:r>
        <w:rPr>
          <w:rFonts w:ascii="Arial" w:hAnsi="Arial" w:cs="Arial"/>
        </w:rPr>
        <w:t>HBF would therefore wish to see the 10% small sites allowance delivered through allocations.  Indeed, we would a</w:t>
      </w:r>
      <w:r w:rsidRPr="00EC74C1">
        <w:rPr>
          <w:rFonts w:ascii="Arial" w:hAnsi="Arial" w:cs="Arial"/>
        </w:rPr>
        <w:t xml:space="preserve">dvocate that a higher percentage of small sites are allocated if possible. Such sites are important for encouraging the growth in SME housebuilders who will tend to develop these sites but rarely see the benefits that arise from the allocation of sites in a local plan.  Up until the 1980s, small developers once accounted for the construction of half of all homes built in this country resulting in greater variety of product, more </w:t>
      </w:r>
      <w:r w:rsidRPr="00EC74C1">
        <w:rPr>
          <w:rFonts w:ascii="Arial" w:hAnsi="Arial" w:cs="Arial"/>
        </w:rPr>
        <w:lastRenderedPageBreak/>
        <w:t xml:space="preserve">competition, and faster build-out rates. Since then, the number of small companies has fallen by 80%. </w:t>
      </w:r>
    </w:p>
    <w:p w14:paraId="3CE838A8" w14:textId="77777777" w:rsidR="004C2609" w:rsidRPr="00DB4845" w:rsidRDefault="004C2609" w:rsidP="004C2609">
      <w:pPr>
        <w:pStyle w:val="ListParagraph"/>
        <w:rPr>
          <w:rFonts w:ascii="Arial" w:hAnsi="Arial" w:cs="Arial"/>
        </w:rPr>
      </w:pPr>
    </w:p>
    <w:p w14:paraId="33D25B46" w14:textId="77777777" w:rsidR="004C2609" w:rsidRPr="00023489" w:rsidRDefault="004C2609" w:rsidP="004C2609">
      <w:pPr>
        <w:pStyle w:val="ListParagraph"/>
        <w:numPr>
          <w:ilvl w:val="0"/>
          <w:numId w:val="8"/>
        </w:numPr>
        <w:rPr>
          <w:rFonts w:ascii="Arial" w:hAnsi="Arial" w:cs="Arial"/>
        </w:rPr>
      </w:pPr>
      <w:r w:rsidRPr="00023489">
        <w:rPr>
          <w:rFonts w:ascii="Arial" w:hAnsi="Arial" w:cs="Arial"/>
        </w:rPr>
        <w:t xml:space="preserve">HBF also note that support for small and medium builders need not be limited to only small sites of less than 1Ha.  SMEs also deliver on other types of non-strategic sites (for example up to 100 units).  The inclusion of additional non-strategic allocations would expand the range of choice in the market, and (possibly most importantly), be of a scale that can come forward and </w:t>
      </w:r>
      <w:proofErr w:type="gramStart"/>
      <w:r w:rsidRPr="00023489">
        <w:rPr>
          <w:rFonts w:ascii="Arial" w:hAnsi="Arial" w:cs="Arial"/>
        </w:rPr>
        <w:t>making a contribution</w:t>
      </w:r>
      <w:proofErr w:type="gramEnd"/>
      <w:r w:rsidRPr="00023489">
        <w:rPr>
          <w:rFonts w:ascii="Arial" w:hAnsi="Arial" w:cs="Arial"/>
        </w:rPr>
        <w:t xml:space="preserve"> to housing numbers earlier in the plan period. </w:t>
      </w:r>
    </w:p>
    <w:p w14:paraId="280468E5" w14:textId="77777777" w:rsidR="004C2609" w:rsidRPr="009B6A15" w:rsidRDefault="004C2609" w:rsidP="004C2609">
      <w:pPr>
        <w:pStyle w:val="ListParagraph"/>
        <w:spacing w:line="276" w:lineRule="auto"/>
        <w:jc w:val="both"/>
        <w:rPr>
          <w:rFonts w:ascii="Arial" w:hAnsi="Arial" w:cs="Arial"/>
        </w:rPr>
      </w:pPr>
    </w:p>
    <w:p w14:paraId="173E81F8" w14:textId="27325502" w:rsidR="007E7DCC" w:rsidRDefault="004C2609" w:rsidP="007E7DCC">
      <w:pPr>
        <w:pStyle w:val="ListParagraph"/>
        <w:numPr>
          <w:ilvl w:val="0"/>
          <w:numId w:val="8"/>
        </w:numPr>
        <w:spacing w:line="276" w:lineRule="auto"/>
        <w:rPr>
          <w:rFonts w:ascii="Arial" w:hAnsi="Arial" w:cs="Arial"/>
        </w:rPr>
      </w:pPr>
      <w:r w:rsidRPr="00B943AD">
        <w:rPr>
          <w:rFonts w:ascii="Arial" w:hAnsi="Arial" w:cs="Arial"/>
        </w:rPr>
        <w:t>In relation to criteria three, HBF notes that NPPF (para 71) only permits an allowance for windfall sites if there is compelling evidence that such sites have consistently become available and will continue to be a reliable source of supply.  HBF are also of the view that any buffer provided by windfall sites should be in addition to the buffer added to the housing need figures derived from the Standard Method to provide choice and competition in the land market.  However, by including windfalls within the Plan’s housing requirement</w:t>
      </w:r>
      <w:r>
        <w:rPr>
          <w:rFonts w:ascii="Arial" w:hAnsi="Arial" w:cs="Arial"/>
        </w:rPr>
        <w:t xml:space="preserve"> supply</w:t>
      </w:r>
      <w:r w:rsidRPr="00B943AD">
        <w:rPr>
          <w:rFonts w:ascii="Arial" w:hAnsi="Arial" w:cs="Arial"/>
        </w:rPr>
        <w:t xml:space="preserve">, </w:t>
      </w:r>
      <w:r>
        <w:rPr>
          <w:rFonts w:ascii="Arial" w:hAnsi="Arial" w:cs="Arial"/>
        </w:rPr>
        <w:t>any</w:t>
      </w:r>
      <w:r w:rsidRPr="00B943AD">
        <w:rPr>
          <w:rFonts w:ascii="Arial" w:hAnsi="Arial" w:cs="Arial"/>
        </w:rPr>
        <w:t xml:space="preserve"> opportunity for windfalls to provide some additional housing numbers</w:t>
      </w:r>
      <w:r>
        <w:rPr>
          <w:rFonts w:ascii="Arial" w:hAnsi="Arial" w:cs="Arial"/>
        </w:rPr>
        <w:t xml:space="preserve"> and flexibility</w:t>
      </w:r>
      <w:r w:rsidRPr="00B943AD">
        <w:rPr>
          <w:rFonts w:ascii="Arial" w:hAnsi="Arial" w:cs="Arial"/>
        </w:rPr>
        <w:t xml:space="preserve"> is removed.  Windfalls do not provide the same choice and flexibility in the market as additional allocations.</w:t>
      </w:r>
    </w:p>
    <w:p w14:paraId="238199F2" w14:textId="77777777" w:rsidR="007E7DCC" w:rsidRPr="007E7DCC" w:rsidRDefault="007E7DCC" w:rsidP="007E7DCC">
      <w:pPr>
        <w:pStyle w:val="ListParagraph"/>
        <w:rPr>
          <w:rFonts w:ascii="Arial" w:hAnsi="Arial" w:cs="Arial"/>
        </w:rPr>
      </w:pPr>
    </w:p>
    <w:p w14:paraId="298EF65A" w14:textId="77777777" w:rsidR="000F6500" w:rsidRPr="000F6500" w:rsidRDefault="000F6500" w:rsidP="000F6500">
      <w:pPr>
        <w:pStyle w:val="ListParagraph"/>
        <w:numPr>
          <w:ilvl w:val="0"/>
          <w:numId w:val="8"/>
        </w:numPr>
        <w:spacing w:line="276" w:lineRule="auto"/>
        <w:jc w:val="both"/>
        <w:rPr>
          <w:rFonts w:ascii="Arial" w:hAnsi="Arial" w:cs="Arial"/>
        </w:rPr>
      </w:pPr>
      <w:r w:rsidRPr="000F6500">
        <w:rPr>
          <w:rFonts w:ascii="Arial" w:hAnsi="Arial" w:cs="Arial"/>
        </w:rPr>
        <w:t xml:space="preserve">Criteria 3 indicates that regular monitoring will be undertaken annually of housing delivery, but this does not tally with the Monitoring Framework at the end of the Plan.  </w:t>
      </w:r>
    </w:p>
    <w:p w14:paraId="6C8DA552" w14:textId="77777777" w:rsidR="000F6500" w:rsidRPr="000F6500" w:rsidRDefault="000F6500" w:rsidP="007E7DCC">
      <w:pPr>
        <w:pStyle w:val="ListParagraph"/>
        <w:spacing w:line="276" w:lineRule="auto"/>
        <w:jc w:val="both"/>
        <w:rPr>
          <w:rFonts w:ascii="Arial" w:hAnsi="Arial" w:cs="Arial"/>
        </w:rPr>
      </w:pPr>
    </w:p>
    <w:p w14:paraId="110C37B3" w14:textId="77777777" w:rsidR="000F6500" w:rsidRDefault="000F6500" w:rsidP="000F6500">
      <w:pPr>
        <w:pStyle w:val="ListParagraph"/>
        <w:numPr>
          <w:ilvl w:val="0"/>
          <w:numId w:val="8"/>
        </w:numPr>
        <w:spacing w:line="276" w:lineRule="auto"/>
        <w:jc w:val="both"/>
        <w:rPr>
          <w:rFonts w:ascii="Arial" w:hAnsi="Arial" w:cs="Arial"/>
        </w:rPr>
      </w:pPr>
      <w:r w:rsidRPr="000F6500">
        <w:rPr>
          <w:rFonts w:ascii="Arial" w:hAnsi="Arial" w:cs="Arial"/>
        </w:rPr>
        <w:t xml:space="preserve">It should also be possible to see from Housing Trajectory how much reliance is being made on windfalls, or from when.  To be both justified and effective the Housing Trajectory should include break down the housing numbers into different sources of supply.  HBF are of the view that any allowance for windfall should not be included until the fourth year of a housing trajectory, given the likelihood that dwellings being completed within the next three years will already be known about (as they are likely to need to have already received planning permission to be completed within that timeframe).  </w:t>
      </w:r>
    </w:p>
    <w:p w14:paraId="0B665154" w14:textId="77777777" w:rsidR="00C01A0F" w:rsidRPr="00C01A0F" w:rsidRDefault="00C01A0F" w:rsidP="00C01A0F">
      <w:pPr>
        <w:pStyle w:val="ListParagraph"/>
        <w:rPr>
          <w:rFonts w:ascii="Arial" w:hAnsi="Arial" w:cs="Arial"/>
        </w:rPr>
      </w:pPr>
    </w:p>
    <w:p w14:paraId="51A31004" w14:textId="77777777" w:rsidR="00C01A0F" w:rsidRPr="00C8371E" w:rsidRDefault="00C01A0F" w:rsidP="00C01A0F">
      <w:pPr>
        <w:pStyle w:val="ListParagraph"/>
        <w:rPr>
          <w:rFonts w:ascii="Arial" w:hAnsi="Arial" w:cs="Arial"/>
          <w:b/>
          <w:bCs/>
        </w:rPr>
      </w:pPr>
      <w:r w:rsidRPr="00C8371E">
        <w:rPr>
          <w:rFonts w:ascii="Arial" w:hAnsi="Arial" w:cs="Arial"/>
          <w:b/>
          <w:bCs/>
        </w:rPr>
        <w:t>Policy SHO2- Windfall Developments</w:t>
      </w:r>
    </w:p>
    <w:p w14:paraId="2E4F3492" w14:textId="77777777" w:rsidR="00C01A0F" w:rsidRDefault="00C01A0F" w:rsidP="00C01A0F">
      <w:pPr>
        <w:pStyle w:val="ListParagraph"/>
        <w:spacing w:line="276" w:lineRule="auto"/>
        <w:rPr>
          <w:rFonts w:ascii="Arial" w:hAnsi="Arial" w:cs="Arial"/>
          <w:i/>
          <w:iCs/>
        </w:rPr>
      </w:pPr>
    </w:p>
    <w:p w14:paraId="5EA0AC94" w14:textId="040426C0" w:rsidR="00C01A0F" w:rsidRDefault="00C01A0F" w:rsidP="00C01A0F">
      <w:pPr>
        <w:pStyle w:val="ListParagraph"/>
        <w:spacing w:line="276" w:lineRule="auto"/>
        <w:rPr>
          <w:rFonts w:ascii="Arial" w:hAnsi="Arial" w:cs="Arial"/>
          <w:i/>
          <w:iCs/>
        </w:rPr>
      </w:pPr>
      <w:r w:rsidRPr="00FF04CF">
        <w:rPr>
          <w:rFonts w:ascii="Arial" w:hAnsi="Arial" w:cs="Arial"/>
          <w:i/>
          <w:iCs/>
        </w:rPr>
        <w:t>The Policy is not considered to be sound as it is not justified or effective or in line with national policy.</w:t>
      </w:r>
    </w:p>
    <w:p w14:paraId="3D724CA3" w14:textId="77777777" w:rsidR="00C01A0F" w:rsidRPr="00FF04CF" w:rsidRDefault="00C01A0F" w:rsidP="00C01A0F">
      <w:pPr>
        <w:pStyle w:val="ListParagraph"/>
        <w:spacing w:line="276" w:lineRule="auto"/>
        <w:rPr>
          <w:rFonts w:ascii="Arial" w:hAnsi="Arial" w:cs="Arial"/>
          <w:i/>
          <w:iCs/>
        </w:rPr>
      </w:pPr>
    </w:p>
    <w:p w14:paraId="579455DD" w14:textId="77777777" w:rsidR="00C8371E" w:rsidRPr="00C8371E" w:rsidRDefault="00C8371E" w:rsidP="00C8371E">
      <w:pPr>
        <w:pStyle w:val="ListParagraph"/>
        <w:numPr>
          <w:ilvl w:val="0"/>
          <w:numId w:val="8"/>
        </w:numPr>
        <w:spacing w:line="276" w:lineRule="auto"/>
        <w:jc w:val="both"/>
        <w:rPr>
          <w:rFonts w:ascii="Arial" w:hAnsi="Arial" w:cs="Arial"/>
        </w:rPr>
      </w:pPr>
      <w:r w:rsidRPr="00C8371E">
        <w:rPr>
          <w:rFonts w:ascii="Arial" w:hAnsi="Arial" w:cs="Arial"/>
        </w:rPr>
        <w:t xml:space="preserve">As outlined above HBF are concerned about the Councils reliance on windfall in place of allocating housing sites.  HBF also question whether it is appropriate to treat council owned land differently in policy terms from any other land.  Consideration of who the applicant or landowner is, is not normally considered a to be a planning matter.  The allocation of sites </w:t>
      </w:r>
      <w:proofErr w:type="gramStart"/>
      <w:r w:rsidRPr="00C8371E">
        <w:rPr>
          <w:rFonts w:ascii="Arial" w:hAnsi="Arial" w:cs="Arial"/>
        </w:rPr>
        <w:t>and  the</w:t>
      </w:r>
      <w:proofErr w:type="gramEnd"/>
      <w:r w:rsidRPr="00C8371E">
        <w:rPr>
          <w:rFonts w:ascii="Arial" w:hAnsi="Arial" w:cs="Arial"/>
        </w:rPr>
        <w:t xml:space="preserve"> granting of permission of windfall should be considered on their planning merits and the contribution they can make to sustainable development, not who is the owner of the land.  </w:t>
      </w:r>
    </w:p>
    <w:p w14:paraId="70AEDAEB" w14:textId="77777777" w:rsidR="00C8371E" w:rsidRPr="00C8371E" w:rsidRDefault="00C8371E" w:rsidP="00C8371E">
      <w:pPr>
        <w:pStyle w:val="ListParagraph"/>
        <w:spacing w:line="276" w:lineRule="auto"/>
        <w:jc w:val="both"/>
        <w:rPr>
          <w:rFonts w:ascii="Arial" w:hAnsi="Arial" w:cs="Arial"/>
        </w:rPr>
      </w:pPr>
    </w:p>
    <w:p w14:paraId="7F116F31" w14:textId="77777777" w:rsidR="00C8371E" w:rsidRPr="00C8371E" w:rsidRDefault="00C8371E" w:rsidP="00C8371E">
      <w:pPr>
        <w:pStyle w:val="ListParagraph"/>
        <w:numPr>
          <w:ilvl w:val="0"/>
          <w:numId w:val="8"/>
        </w:numPr>
        <w:spacing w:line="276" w:lineRule="auto"/>
        <w:jc w:val="both"/>
        <w:rPr>
          <w:rFonts w:ascii="Arial" w:hAnsi="Arial" w:cs="Arial"/>
        </w:rPr>
      </w:pPr>
      <w:r w:rsidRPr="00C8371E">
        <w:rPr>
          <w:rFonts w:ascii="Arial" w:hAnsi="Arial" w:cs="Arial"/>
        </w:rPr>
        <w:lastRenderedPageBreak/>
        <w:t>HBF contend there is need for greenfield development in Sandwell to address the housing crisis and meet the housing requirement, some of these greenfield sites may need to be on Green Belt land.  If monitoring showed underperformance of housing delivery additional housing will need to brough forward which could include allowing additional green field sites.  The policy should be amended to account for this possibility.</w:t>
      </w:r>
    </w:p>
    <w:p w14:paraId="5AE39486" w14:textId="77777777" w:rsidR="00C8371E" w:rsidRPr="00C8371E" w:rsidRDefault="00C8371E" w:rsidP="00C8371E">
      <w:pPr>
        <w:pStyle w:val="ListParagraph"/>
        <w:spacing w:line="276" w:lineRule="auto"/>
        <w:jc w:val="both"/>
        <w:rPr>
          <w:rFonts w:ascii="Arial" w:hAnsi="Arial" w:cs="Arial"/>
        </w:rPr>
      </w:pPr>
    </w:p>
    <w:p w14:paraId="67C5BDE8" w14:textId="6584B962" w:rsidR="00C8371E" w:rsidRPr="00C8371E" w:rsidRDefault="00C8371E" w:rsidP="00C8371E">
      <w:pPr>
        <w:pStyle w:val="ListParagraph"/>
        <w:numPr>
          <w:ilvl w:val="0"/>
          <w:numId w:val="8"/>
        </w:numPr>
        <w:spacing w:line="276" w:lineRule="auto"/>
        <w:jc w:val="both"/>
        <w:rPr>
          <w:rFonts w:ascii="Arial" w:hAnsi="Arial" w:cs="Arial"/>
        </w:rPr>
      </w:pPr>
      <w:r w:rsidRPr="00C8371E">
        <w:rPr>
          <w:rFonts w:ascii="Arial" w:hAnsi="Arial" w:cs="Arial"/>
        </w:rPr>
        <w:t xml:space="preserve">It should </w:t>
      </w:r>
      <w:r>
        <w:rPr>
          <w:rFonts w:ascii="Arial" w:hAnsi="Arial" w:cs="Arial"/>
        </w:rPr>
        <w:t xml:space="preserve">also </w:t>
      </w:r>
      <w:r w:rsidRPr="00C8371E">
        <w:rPr>
          <w:rFonts w:ascii="Arial" w:hAnsi="Arial" w:cs="Arial"/>
        </w:rPr>
        <w:t>be noted that HBF also support the need for additional greenfield allocations to meet the housing requirement.</w:t>
      </w:r>
    </w:p>
    <w:p w14:paraId="0606E3AF" w14:textId="77777777" w:rsidR="004136D1" w:rsidRDefault="004136D1" w:rsidP="004136D1">
      <w:pPr>
        <w:pStyle w:val="ListParagraph"/>
        <w:spacing w:line="276" w:lineRule="auto"/>
        <w:jc w:val="both"/>
        <w:rPr>
          <w:rFonts w:ascii="Arial" w:hAnsi="Arial" w:cs="Arial"/>
        </w:rPr>
      </w:pPr>
    </w:p>
    <w:p w14:paraId="5C22232F" w14:textId="20CA2555" w:rsidR="00A16164" w:rsidRPr="004136D1" w:rsidRDefault="004136D1" w:rsidP="004136D1">
      <w:pPr>
        <w:pStyle w:val="ListParagraph"/>
        <w:spacing w:line="276" w:lineRule="auto"/>
        <w:jc w:val="both"/>
        <w:rPr>
          <w:rFonts w:ascii="Arial" w:hAnsi="Arial" w:cs="Arial"/>
          <w:b/>
          <w:bCs/>
        </w:rPr>
      </w:pPr>
      <w:r w:rsidRPr="004136D1">
        <w:rPr>
          <w:rFonts w:ascii="Arial" w:hAnsi="Arial" w:cs="Arial"/>
          <w:b/>
          <w:bCs/>
        </w:rPr>
        <w:t>Policy SHO3- Housing Density, Type and Accessibility</w:t>
      </w:r>
    </w:p>
    <w:p w14:paraId="7E361F70" w14:textId="77777777" w:rsidR="004136D1" w:rsidRDefault="004136D1" w:rsidP="004136D1">
      <w:pPr>
        <w:pStyle w:val="ListParagraph"/>
        <w:spacing w:line="276" w:lineRule="auto"/>
        <w:rPr>
          <w:rFonts w:ascii="Arial" w:hAnsi="Arial" w:cs="Arial"/>
          <w:i/>
          <w:iCs/>
        </w:rPr>
      </w:pPr>
    </w:p>
    <w:p w14:paraId="6D79F73A" w14:textId="278A42EC" w:rsidR="004136D1" w:rsidRDefault="004136D1" w:rsidP="004136D1">
      <w:pPr>
        <w:pStyle w:val="ListParagraph"/>
        <w:spacing w:line="276" w:lineRule="auto"/>
        <w:rPr>
          <w:rFonts w:ascii="Arial" w:hAnsi="Arial" w:cs="Arial"/>
          <w:i/>
          <w:iCs/>
        </w:rPr>
      </w:pPr>
      <w:r w:rsidRPr="00FF04CF">
        <w:rPr>
          <w:rFonts w:ascii="Arial" w:hAnsi="Arial" w:cs="Arial"/>
          <w:i/>
          <w:iCs/>
        </w:rPr>
        <w:t>The Policy is not considered to be sound as it is not justified or effective or in line with national policy.</w:t>
      </w:r>
    </w:p>
    <w:p w14:paraId="6368FB8C" w14:textId="77777777" w:rsidR="00D64127" w:rsidRDefault="00D64127" w:rsidP="004136D1">
      <w:pPr>
        <w:pStyle w:val="ListParagraph"/>
        <w:spacing w:line="276" w:lineRule="auto"/>
        <w:rPr>
          <w:rFonts w:ascii="Arial" w:hAnsi="Arial" w:cs="Arial"/>
          <w:i/>
          <w:iCs/>
        </w:rPr>
      </w:pPr>
    </w:p>
    <w:p w14:paraId="71D20560" w14:textId="10DDB7F9" w:rsidR="00D64127" w:rsidRPr="00D64127" w:rsidRDefault="00D64127" w:rsidP="00D64127">
      <w:pPr>
        <w:pStyle w:val="ListParagraph"/>
        <w:numPr>
          <w:ilvl w:val="0"/>
          <w:numId w:val="8"/>
        </w:numPr>
        <w:rPr>
          <w:rFonts w:ascii="Arial" w:hAnsi="Arial" w:cs="Arial"/>
        </w:rPr>
      </w:pPr>
      <w:r w:rsidRPr="00D64127">
        <w:rPr>
          <w:rFonts w:ascii="Arial" w:hAnsi="Arial" w:cs="Arial"/>
        </w:rPr>
        <w:t>Th</w:t>
      </w:r>
      <w:r>
        <w:rPr>
          <w:rFonts w:ascii="Arial" w:hAnsi="Arial" w:cs="Arial"/>
        </w:rPr>
        <w:t xml:space="preserve">e Regulation 19 policy continues to </w:t>
      </w:r>
      <w:r w:rsidRPr="00D64127">
        <w:rPr>
          <w:rFonts w:ascii="Arial" w:hAnsi="Arial" w:cs="Arial"/>
        </w:rPr>
        <w:t>require</w:t>
      </w:r>
      <w:r>
        <w:rPr>
          <w:rFonts w:ascii="Arial" w:hAnsi="Arial" w:cs="Arial"/>
        </w:rPr>
        <w:t xml:space="preserve"> </w:t>
      </w:r>
      <w:r w:rsidRPr="00D64127">
        <w:rPr>
          <w:rFonts w:ascii="Arial" w:hAnsi="Arial" w:cs="Arial"/>
        </w:rPr>
        <w:t>densit</w:t>
      </w:r>
      <w:r>
        <w:rPr>
          <w:rFonts w:ascii="Arial" w:hAnsi="Arial" w:cs="Arial"/>
        </w:rPr>
        <w:t>ies</w:t>
      </w:r>
      <w:r w:rsidRPr="00D64127">
        <w:rPr>
          <w:rFonts w:ascii="Arial" w:hAnsi="Arial" w:cs="Arial"/>
        </w:rPr>
        <w:t xml:space="preserve"> of 100 dwellings per hectare for areas of very </w:t>
      </w:r>
      <w:proofErr w:type="gramStart"/>
      <w:r w:rsidRPr="00D64127">
        <w:rPr>
          <w:rFonts w:ascii="Arial" w:hAnsi="Arial" w:cs="Arial"/>
        </w:rPr>
        <w:t>high density</w:t>
      </w:r>
      <w:proofErr w:type="gramEnd"/>
      <w:r w:rsidRPr="00D64127">
        <w:rPr>
          <w:rFonts w:ascii="Arial" w:hAnsi="Arial" w:cs="Arial"/>
        </w:rPr>
        <w:t xml:space="preserve"> housing areas, 45 dwellings in ‘high accessible areas’ and 40+ for moderate area.  Although the Table Six uses 100+, 45+ and 40+, so there is a need for consistency between the two.</w:t>
      </w:r>
    </w:p>
    <w:p w14:paraId="2125362D" w14:textId="24E778DE" w:rsidR="00D64127" w:rsidRPr="00D64127" w:rsidRDefault="00D64127" w:rsidP="00D64127">
      <w:pPr>
        <w:pStyle w:val="ListParagraph"/>
        <w:rPr>
          <w:rFonts w:ascii="Arial" w:hAnsi="Arial" w:cs="Arial"/>
        </w:rPr>
      </w:pPr>
    </w:p>
    <w:p w14:paraId="2B9C3165" w14:textId="77777777" w:rsidR="00D64127" w:rsidRPr="00D64127" w:rsidRDefault="00D64127" w:rsidP="00D64127">
      <w:pPr>
        <w:pStyle w:val="ListParagraph"/>
        <w:numPr>
          <w:ilvl w:val="0"/>
          <w:numId w:val="8"/>
        </w:numPr>
        <w:rPr>
          <w:rFonts w:ascii="Arial" w:hAnsi="Arial" w:cs="Arial"/>
        </w:rPr>
      </w:pPr>
      <w:r w:rsidRPr="00D64127">
        <w:rPr>
          <w:rFonts w:ascii="Arial" w:hAnsi="Arial" w:cs="Arial"/>
        </w:rPr>
        <w:t xml:space="preserve">Is it unclear from the policy wording if this policy only applies to allocated sites, or all development over 10 units.  It is also unclear how a developer would know which target applied to their development and which standard to apply on a site not allocated in the plan.  The Plan needs to better explain and justify its approach.  </w:t>
      </w:r>
    </w:p>
    <w:p w14:paraId="221FA963" w14:textId="77777777" w:rsidR="00D64127" w:rsidRPr="00D64127" w:rsidRDefault="00D64127" w:rsidP="00D64127">
      <w:pPr>
        <w:pStyle w:val="ListParagraph"/>
        <w:rPr>
          <w:rFonts w:ascii="Arial" w:hAnsi="Arial" w:cs="Arial"/>
        </w:rPr>
      </w:pPr>
    </w:p>
    <w:p w14:paraId="33B20F8F" w14:textId="77777777" w:rsidR="00D64127" w:rsidRPr="00D64127" w:rsidRDefault="00D64127" w:rsidP="00D64127">
      <w:pPr>
        <w:pStyle w:val="ListParagraph"/>
        <w:numPr>
          <w:ilvl w:val="0"/>
          <w:numId w:val="8"/>
        </w:numPr>
        <w:rPr>
          <w:rFonts w:ascii="Arial" w:hAnsi="Arial" w:cs="Arial"/>
        </w:rPr>
      </w:pPr>
      <w:r w:rsidRPr="00D64127">
        <w:rPr>
          <w:rFonts w:ascii="Arial" w:hAnsi="Arial" w:cs="Arial"/>
        </w:rPr>
        <w:t xml:space="preserve">HBF would also question how realistic such high densities are, noting that the setting of residential density standards should be undertaken in accordance with the NPPF (para 125).  HBF would also question how this policy links into other policies including the policies that seek to protect family housing, resist HMOs, limit tall buildings, prevent intensification, resist windfalls, and require a range and mix of housing.   </w:t>
      </w:r>
      <w:proofErr w:type="gramStart"/>
      <w:r w:rsidRPr="00D64127">
        <w:rPr>
          <w:rFonts w:ascii="Arial" w:hAnsi="Arial" w:cs="Arial"/>
        </w:rPr>
        <w:t>All of</w:t>
      </w:r>
      <w:proofErr w:type="gramEnd"/>
      <w:r w:rsidRPr="00D64127">
        <w:rPr>
          <w:rFonts w:ascii="Arial" w:hAnsi="Arial" w:cs="Arial"/>
        </w:rPr>
        <w:t xml:space="preserve"> these policies may prevent densification.  </w:t>
      </w:r>
      <w:proofErr w:type="gramStart"/>
      <w:r w:rsidRPr="00D64127">
        <w:rPr>
          <w:rFonts w:ascii="Arial" w:hAnsi="Arial" w:cs="Arial"/>
        </w:rPr>
        <w:t>Indeed</w:t>
      </w:r>
      <w:proofErr w:type="gramEnd"/>
      <w:r w:rsidRPr="00D64127">
        <w:rPr>
          <w:rFonts w:ascii="Arial" w:hAnsi="Arial" w:cs="Arial"/>
        </w:rPr>
        <w:t xml:space="preserve"> even the amount of land required for on-site BNG delivery may impact on the density that is delivered.</w:t>
      </w:r>
    </w:p>
    <w:p w14:paraId="510BBD8F" w14:textId="77777777" w:rsidR="00D64127" w:rsidRPr="00D64127" w:rsidRDefault="00D64127" w:rsidP="00D64127">
      <w:pPr>
        <w:pStyle w:val="ListParagraph"/>
        <w:rPr>
          <w:rFonts w:ascii="Arial" w:hAnsi="Arial" w:cs="Arial"/>
        </w:rPr>
      </w:pPr>
    </w:p>
    <w:p w14:paraId="4A740445" w14:textId="77777777" w:rsidR="00D64127" w:rsidRPr="00D64127" w:rsidRDefault="00D64127" w:rsidP="00D64127">
      <w:pPr>
        <w:pStyle w:val="ListParagraph"/>
        <w:numPr>
          <w:ilvl w:val="0"/>
          <w:numId w:val="8"/>
        </w:numPr>
        <w:rPr>
          <w:rFonts w:ascii="Arial" w:hAnsi="Arial" w:cs="Arial"/>
        </w:rPr>
      </w:pPr>
      <w:r w:rsidRPr="00D64127">
        <w:rPr>
          <w:rFonts w:ascii="Arial" w:hAnsi="Arial" w:cs="Arial"/>
        </w:rPr>
        <w:t xml:space="preserve">HBF suggest that density needs to be considered on a </w:t>
      </w:r>
      <w:proofErr w:type="gramStart"/>
      <w:r w:rsidRPr="00D64127">
        <w:rPr>
          <w:rFonts w:ascii="Arial" w:hAnsi="Arial" w:cs="Arial"/>
        </w:rPr>
        <w:t>site by site</w:t>
      </w:r>
      <w:proofErr w:type="gramEnd"/>
      <w:r w:rsidRPr="00D64127">
        <w:rPr>
          <w:rFonts w:ascii="Arial" w:hAnsi="Arial" w:cs="Arial"/>
        </w:rPr>
        <w:t xml:space="preserve"> basis to ensure schemes are viable, deliverable and appropriate for the site, and policy needs to include some flexibility if needed to enable it to respond to site specific circumstances.</w:t>
      </w:r>
    </w:p>
    <w:p w14:paraId="5FD4A56E" w14:textId="77777777" w:rsidR="00D64127" w:rsidRPr="00D64127" w:rsidRDefault="00D64127" w:rsidP="00D64127">
      <w:pPr>
        <w:pStyle w:val="ListParagraph"/>
        <w:rPr>
          <w:rFonts w:ascii="Arial" w:hAnsi="Arial" w:cs="Arial"/>
        </w:rPr>
      </w:pPr>
    </w:p>
    <w:p w14:paraId="7BDB490B" w14:textId="77777777" w:rsidR="00D64127" w:rsidRPr="00D64127" w:rsidRDefault="00D64127" w:rsidP="00D64127">
      <w:pPr>
        <w:pStyle w:val="ListParagraph"/>
        <w:numPr>
          <w:ilvl w:val="0"/>
          <w:numId w:val="8"/>
        </w:numPr>
        <w:rPr>
          <w:rFonts w:ascii="Arial" w:hAnsi="Arial" w:cs="Arial"/>
        </w:rPr>
      </w:pPr>
      <w:r w:rsidRPr="00D64127">
        <w:rPr>
          <w:rFonts w:ascii="Arial" w:hAnsi="Arial" w:cs="Arial"/>
        </w:rPr>
        <w:t>HBF would question of the density proposed are realistic deliverable and viable as the deliverability of high-density residential development in Sandwell will be dependent upon the viability of brownfield sites and the demand for high density city centre living post Covid-19. It is important that delivery of the housing requirement does not rely overly ambitious intensification of dwellings.</w:t>
      </w:r>
    </w:p>
    <w:p w14:paraId="268E3444" w14:textId="77777777" w:rsidR="00D64127" w:rsidRPr="00D64127" w:rsidRDefault="00D64127" w:rsidP="00D64127">
      <w:pPr>
        <w:pStyle w:val="ListParagraph"/>
        <w:rPr>
          <w:rFonts w:ascii="Arial" w:hAnsi="Arial" w:cs="Arial"/>
        </w:rPr>
      </w:pPr>
    </w:p>
    <w:p w14:paraId="3877E58D" w14:textId="6A5CE537" w:rsidR="00D64127" w:rsidRDefault="00D64127" w:rsidP="00D64127">
      <w:pPr>
        <w:pStyle w:val="ListParagraph"/>
        <w:numPr>
          <w:ilvl w:val="0"/>
          <w:numId w:val="8"/>
        </w:numPr>
        <w:rPr>
          <w:rFonts w:ascii="Arial" w:hAnsi="Arial" w:cs="Arial"/>
        </w:rPr>
      </w:pPr>
      <w:r w:rsidRPr="00D64127">
        <w:rPr>
          <w:rFonts w:ascii="Arial" w:hAnsi="Arial" w:cs="Arial"/>
        </w:rPr>
        <w:t xml:space="preserve">HBF also question why there is need for a specific mention of 4+ bedroom houses in Criteria </w:t>
      </w:r>
      <w:r w:rsidR="00A10FFD">
        <w:rPr>
          <w:rFonts w:ascii="Arial" w:hAnsi="Arial" w:cs="Arial"/>
        </w:rPr>
        <w:t>5</w:t>
      </w:r>
      <w:r w:rsidRPr="00D64127">
        <w:rPr>
          <w:rFonts w:ascii="Arial" w:hAnsi="Arial" w:cs="Arial"/>
        </w:rPr>
        <w:t xml:space="preserve"> of the policy as the wording of the policy as this </w:t>
      </w:r>
      <w:r w:rsidRPr="00D64127">
        <w:rPr>
          <w:rFonts w:ascii="Arial" w:hAnsi="Arial" w:cs="Arial"/>
        </w:rPr>
        <w:lastRenderedPageBreak/>
        <w:t>presupposes no need for four bed houses in the evidence which may not be the case.  The plan should also be read as a whole and the matter of responding to housing need it terms of size and type of units is already covered elsewhere in the Plan.</w:t>
      </w:r>
    </w:p>
    <w:p w14:paraId="089E3C51" w14:textId="77777777" w:rsidR="0042124D" w:rsidRPr="0042124D" w:rsidRDefault="0042124D" w:rsidP="0042124D">
      <w:pPr>
        <w:pStyle w:val="ListParagraph"/>
        <w:rPr>
          <w:rFonts w:ascii="Arial" w:hAnsi="Arial" w:cs="Arial"/>
        </w:rPr>
      </w:pPr>
    </w:p>
    <w:p w14:paraId="00B3B11C" w14:textId="04809E18" w:rsidR="0042124D" w:rsidRDefault="0042124D" w:rsidP="00D64127">
      <w:pPr>
        <w:pStyle w:val="ListParagraph"/>
        <w:numPr>
          <w:ilvl w:val="0"/>
          <w:numId w:val="8"/>
        </w:numPr>
        <w:rPr>
          <w:rFonts w:ascii="Arial" w:hAnsi="Arial" w:cs="Arial"/>
        </w:rPr>
      </w:pPr>
      <w:r>
        <w:rPr>
          <w:rFonts w:ascii="Arial" w:hAnsi="Arial" w:cs="Arial"/>
        </w:rPr>
        <w:t xml:space="preserve">There is also no need for Criterion 6, in this or any other policy, as the Plan should be read as a whole, and decisions made in accordance with the policies in the plan, unless other material considerations indicate otherwise. </w:t>
      </w:r>
    </w:p>
    <w:p w14:paraId="566FD739" w14:textId="77777777" w:rsidR="006F736C" w:rsidRPr="006F736C" w:rsidRDefault="006F736C" w:rsidP="006F736C">
      <w:pPr>
        <w:pStyle w:val="ListParagraph"/>
        <w:rPr>
          <w:rFonts w:ascii="Arial" w:hAnsi="Arial" w:cs="Arial"/>
        </w:rPr>
      </w:pPr>
    </w:p>
    <w:p w14:paraId="3DB391BA" w14:textId="360C98E9" w:rsidR="00F35DDA" w:rsidRDefault="006F736C" w:rsidP="006F736C">
      <w:pPr>
        <w:pStyle w:val="ListParagraph"/>
        <w:rPr>
          <w:rFonts w:ascii="Arial" w:hAnsi="Arial" w:cs="Arial"/>
          <w:b/>
          <w:bCs/>
        </w:rPr>
      </w:pPr>
      <w:r w:rsidRPr="006F736C">
        <w:rPr>
          <w:rFonts w:ascii="Arial" w:hAnsi="Arial" w:cs="Arial"/>
          <w:b/>
          <w:bCs/>
        </w:rPr>
        <w:t>Policy SHO4- Affordable Housing</w:t>
      </w:r>
    </w:p>
    <w:p w14:paraId="4619D744" w14:textId="77777777" w:rsidR="006F736C" w:rsidRPr="006F736C" w:rsidRDefault="006F736C" w:rsidP="006F736C">
      <w:pPr>
        <w:pStyle w:val="ListParagraph"/>
        <w:rPr>
          <w:rFonts w:ascii="Arial" w:hAnsi="Arial" w:cs="Arial"/>
          <w:b/>
          <w:bCs/>
        </w:rPr>
      </w:pPr>
    </w:p>
    <w:p w14:paraId="0EE33406" w14:textId="77777777" w:rsidR="006F736C" w:rsidRDefault="006F736C" w:rsidP="006F736C">
      <w:pPr>
        <w:pStyle w:val="ListParagraph"/>
        <w:spacing w:line="276" w:lineRule="auto"/>
        <w:rPr>
          <w:rFonts w:ascii="Arial" w:hAnsi="Arial" w:cs="Arial"/>
          <w:i/>
          <w:iCs/>
        </w:rPr>
      </w:pPr>
      <w:r w:rsidRPr="00FF04CF">
        <w:rPr>
          <w:rFonts w:ascii="Arial" w:hAnsi="Arial" w:cs="Arial"/>
          <w:i/>
          <w:iCs/>
        </w:rPr>
        <w:t>The Policy is not considered to be sound as it is not justified or effective or in line with national policy.</w:t>
      </w:r>
    </w:p>
    <w:p w14:paraId="5185FC77" w14:textId="77777777" w:rsidR="009942E3" w:rsidRPr="009942E3" w:rsidRDefault="009942E3" w:rsidP="009942E3">
      <w:pPr>
        <w:pStyle w:val="ListParagraph"/>
        <w:rPr>
          <w:rFonts w:ascii="Arial" w:hAnsi="Arial" w:cs="Arial"/>
        </w:rPr>
      </w:pPr>
    </w:p>
    <w:p w14:paraId="0B23CF9A" w14:textId="77777777" w:rsidR="00BE4C2A" w:rsidRDefault="00BE4C2A" w:rsidP="00BE4C2A">
      <w:pPr>
        <w:pStyle w:val="ListParagraph"/>
        <w:numPr>
          <w:ilvl w:val="0"/>
          <w:numId w:val="8"/>
        </w:numPr>
        <w:rPr>
          <w:rFonts w:ascii="Arial" w:hAnsi="Arial" w:cs="Arial"/>
        </w:rPr>
      </w:pPr>
      <w:r>
        <w:rPr>
          <w:rFonts w:ascii="Arial" w:hAnsi="Arial" w:cs="Arial"/>
        </w:rPr>
        <w:t xml:space="preserve">HBF welcomes the recognition that the delivery of affordable housing in Sandwell may raise issues of viability.  </w:t>
      </w:r>
      <w:r w:rsidRPr="008B6B1B">
        <w:rPr>
          <w:rFonts w:ascii="Arial" w:hAnsi="Arial" w:cs="Arial"/>
        </w:rPr>
        <w:t xml:space="preserve">Viability </w:t>
      </w:r>
      <w:r>
        <w:rPr>
          <w:rFonts w:ascii="Arial" w:hAnsi="Arial" w:cs="Arial"/>
        </w:rPr>
        <w:t xml:space="preserve">must </w:t>
      </w:r>
      <w:r w:rsidRPr="008B6B1B">
        <w:rPr>
          <w:rFonts w:ascii="Arial" w:hAnsi="Arial" w:cs="Arial"/>
        </w:rPr>
        <w:t xml:space="preserve">be an integral part of the plan-making process, and the findings of the viability appraisal should have helped inform and test policy development.  HBF have concerned about </w:t>
      </w:r>
      <w:r>
        <w:rPr>
          <w:rFonts w:ascii="Arial" w:hAnsi="Arial" w:cs="Arial"/>
        </w:rPr>
        <w:t xml:space="preserve">some of </w:t>
      </w:r>
      <w:r w:rsidRPr="008B6B1B">
        <w:rPr>
          <w:rFonts w:ascii="Arial" w:hAnsi="Arial" w:cs="Arial"/>
        </w:rPr>
        <w:t xml:space="preserve">the detail of the Viability Assessment as it has not considered </w:t>
      </w:r>
      <w:proofErr w:type="gramStart"/>
      <w:r w:rsidRPr="008B6B1B">
        <w:rPr>
          <w:rFonts w:ascii="Arial" w:hAnsi="Arial" w:cs="Arial"/>
        </w:rPr>
        <w:t>a number of</w:t>
      </w:r>
      <w:proofErr w:type="gramEnd"/>
      <w:r w:rsidRPr="008B6B1B">
        <w:rPr>
          <w:rFonts w:ascii="Arial" w:hAnsi="Arial" w:cs="Arial"/>
        </w:rPr>
        <w:t xml:space="preserve"> key costs and requirements.  For example, HBF information suggests that complying with the current new part L is costing £3500 per plot.  The Future Homes Standard Part L in 2025 is anticipated to cost up to £7500+ per plot.  There will also be the addition of the Building Safety Levy that is coming in pay for cladding. This will be a per plot basis around the UK, and initial values are around £1500- £2500 per plot.  These costs </w:t>
      </w:r>
      <w:r>
        <w:rPr>
          <w:rFonts w:ascii="Arial" w:hAnsi="Arial" w:cs="Arial"/>
        </w:rPr>
        <w:t xml:space="preserve">appear to </w:t>
      </w:r>
      <w:r w:rsidRPr="008B6B1B">
        <w:rPr>
          <w:rFonts w:ascii="Arial" w:hAnsi="Arial" w:cs="Arial"/>
        </w:rPr>
        <w:t>have not been considered in the viability appraisal.</w:t>
      </w:r>
    </w:p>
    <w:p w14:paraId="77DFF82C" w14:textId="77777777" w:rsidR="00BE4C2A" w:rsidRPr="008B6B1B" w:rsidRDefault="00BE4C2A" w:rsidP="00BE4C2A">
      <w:pPr>
        <w:pStyle w:val="ListParagraph"/>
        <w:rPr>
          <w:rFonts w:ascii="Arial" w:hAnsi="Arial" w:cs="Arial"/>
        </w:rPr>
      </w:pPr>
    </w:p>
    <w:p w14:paraId="664096C9" w14:textId="77777777" w:rsidR="00BE4C2A" w:rsidRDefault="00BE4C2A" w:rsidP="00BE4C2A">
      <w:pPr>
        <w:pStyle w:val="ListParagraph"/>
        <w:numPr>
          <w:ilvl w:val="0"/>
          <w:numId w:val="8"/>
        </w:numPr>
        <w:rPr>
          <w:rFonts w:ascii="Arial" w:hAnsi="Arial" w:cs="Arial"/>
        </w:rPr>
      </w:pPr>
      <w:r w:rsidRPr="008B6B1B">
        <w:rPr>
          <w:rFonts w:ascii="Arial" w:hAnsi="Arial" w:cs="Arial"/>
        </w:rPr>
        <w:t xml:space="preserve">Other factors that need to be </w:t>
      </w:r>
      <w:proofErr w:type="gramStart"/>
      <w:r w:rsidRPr="008B6B1B">
        <w:rPr>
          <w:rFonts w:ascii="Arial" w:hAnsi="Arial" w:cs="Arial"/>
        </w:rPr>
        <w:t>taken into account</w:t>
      </w:r>
      <w:proofErr w:type="gramEnd"/>
      <w:r w:rsidRPr="008B6B1B">
        <w:rPr>
          <w:rFonts w:ascii="Arial" w:hAnsi="Arial" w:cs="Arial"/>
        </w:rPr>
        <w:t xml:space="preserve"> include increasing costs of materials and labour due to inflation and the costs of mandatory BNG, which are still emerging as the off-site market is yet to be established.  Although the initial price of statutory credits is now known this national fallback option has been deliberately highly priced to discourage their use.  Whilst this intention is understandable, at present the lack of functioning local markets for off-site credits causes viability problems because HBF members experience to date suggests that any scheme </w:t>
      </w:r>
      <w:r>
        <w:rPr>
          <w:rFonts w:ascii="Arial" w:hAnsi="Arial" w:cs="Arial"/>
        </w:rPr>
        <w:t xml:space="preserve">that needs to rely on statutory credits becomes unviable.  </w:t>
      </w:r>
      <w:r w:rsidRPr="008B6B1B">
        <w:rPr>
          <w:rFonts w:ascii="Arial" w:hAnsi="Arial" w:cs="Arial"/>
        </w:rPr>
        <w:t xml:space="preserve">HBF have numerous concerns about the whole plan viability study, including the omission of some key policy costs.  For example, </w:t>
      </w:r>
      <w:proofErr w:type="gramStart"/>
      <w:r w:rsidRPr="008B6B1B">
        <w:rPr>
          <w:rFonts w:ascii="Arial" w:hAnsi="Arial" w:cs="Arial"/>
        </w:rPr>
        <w:t>an</w:t>
      </w:r>
      <w:proofErr w:type="gramEnd"/>
      <w:r w:rsidRPr="008B6B1B">
        <w:rPr>
          <w:rFonts w:ascii="Arial" w:hAnsi="Arial" w:cs="Arial"/>
        </w:rPr>
        <w:t xml:space="preserve"> </w:t>
      </w:r>
      <w:r>
        <w:rPr>
          <w:rFonts w:ascii="Arial" w:hAnsi="Arial" w:cs="Arial"/>
        </w:rPr>
        <w:t xml:space="preserve">realistic and evidenced </w:t>
      </w:r>
      <w:r w:rsidRPr="008B6B1B">
        <w:rPr>
          <w:rFonts w:ascii="Arial" w:hAnsi="Arial" w:cs="Arial"/>
        </w:rPr>
        <w:t xml:space="preserve">allowance for mandatory BNG needs to be includes within the viability assessment of the Local Plan.  </w:t>
      </w:r>
    </w:p>
    <w:p w14:paraId="56E57EF3" w14:textId="77777777" w:rsidR="00BE4C2A" w:rsidRPr="008B6B1B" w:rsidRDefault="00BE4C2A" w:rsidP="00BE4C2A">
      <w:pPr>
        <w:pStyle w:val="ListParagraph"/>
        <w:rPr>
          <w:rFonts w:ascii="Arial" w:hAnsi="Arial" w:cs="Arial"/>
        </w:rPr>
      </w:pPr>
    </w:p>
    <w:p w14:paraId="3D4419A1" w14:textId="77777777" w:rsidR="00BE4C2A" w:rsidRDefault="00BE4C2A" w:rsidP="00BE4C2A">
      <w:pPr>
        <w:pStyle w:val="ListParagraph"/>
        <w:numPr>
          <w:ilvl w:val="0"/>
          <w:numId w:val="8"/>
        </w:numPr>
        <w:rPr>
          <w:rFonts w:ascii="Arial" w:hAnsi="Arial" w:cs="Arial"/>
        </w:rPr>
      </w:pPr>
      <w:r w:rsidRPr="008B6B1B">
        <w:rPr>
          <w:rFonts w:ascii="Arial" w:hAnsi="Arial" w:cs="Arial"/>
        </w:rPr>
        <w:t xml:space="preserve">The costs of BNG should have been considered as part of the planning obligations and should be specified as a single specific item.  There are significant additional costs associated with biodiversity net gain, which should be fully accounted for in the Council’s viability assessment, some of which are unknown at this time. It is important that BNG does not prevent, </w:t>
      </w:r>
      <w:proofErr w:type="gramStart"/>
      <w:r w:rsidRPr="008B6B1B">
        <w:rPr>
          <w:rFonts w:ascii="Arial" w:hAnsi="Arial" w:cs="Arial"/>
        </w:rPr>
        <w:t>delay</w:t>
      </w:r>
      <w:proofErr w:type="gramEnd"/>
      <w:r w:rsidRPr="008B6B1B">
        <w:rPr>
          <w:rFonts w:ascii="Arial" w:hAnsi="Arial" w:cs="Arial"/>
        </w:rPr>
        <w:t xml:space="preserve"> or reduce housing delivery.  As this is an emerging policy area and the market for off-site provision, and statutory credits are not yet known, any figure used for BNG costs will need to be kept under review as BNG implementation progresses and a greater understanding of actual costs become available.  The Whole Plan Viability Assessment should clearly set out how it considered </w:t>
      </w:r>
      <w:r w:rsidRPr="008B6B1B">
        <w:rPr>
          <w:rFonts w:ascii="Arial" w:hAnsi="Arial" w:cs="Arial"/>
        </w:rPr>
        <w:lastRenderedPageBreak/>
        <w:t xml:space="preserve">the implications of mandatory BNG and how it arrived at the most up to date BNG costs information available to use.  </w:t>
      </w:r>
    </w:p>
    <w:p w14:paraId="7897F7CC" w14:textId="77777777" w:rsidR="00BE4C2A" w:rsidRPr="00B62FF9" w:rsidRDefault="00BE4C2A" w:rsidP="00BE4C2A">
      <w:pPr>
        <w:pStyle w:val="ListParagraph"/>
        <w:spacing w:line="276" w:lineRule="auto"/>
        <w:jc w:val="both"/>
        <w:rPr>
          <w:rFonts w:ascii="Arial" w:hAnsi="Arial" w:cs="Arial"/>
        </w:rPr>
      </w:pPr>
    </w:p>
    <w:p w14:paraId="790A43CB" w14:textId="77777777" w:rsidR="00BE4C2A" w:rsidRPr="00964871" w:rsidRDefault="00BE4C2A" w:rsidP="00BE4C2A">
      <w:pPr>
        <w:pStyle w:val="ListParagraph"/>
        <w:numPr>
          <w:ilvl w:val="0"/>
          <w:numId w:val="8"/>
        </w:numPr>
        <w:spacing w:line="276" w:lineRule="auto"/>
        <w:jc w:val="both"/>
        <w:rPr>
          <w:rFonts w:ascii="Arial" w:hAnsi="Arial" w:cs="Arial"/>
        </w:rPr>
      </w:pPr>
      <w:r w:rsidRPr="006A6B52">
        <w:rPr>
          <w:rFonts w:cstheme="minorHAnsi"/>
        </w:rPr>
        <w:t xml:space="preserve">At a very basic level viability can be improved by reducing costs or increasing values.  Sometimes, therefore changing the type of affordable housing provided can help to improve viability of a specific site, and the plan should recognise this.  In this situation there could be a change of the percentages of different types of affordable housing provided, but the headline figure of how much affordable housing is provided would remain the same.  </w:t>
      </w:r>
      <w:r>
        <w:rPr>
          <w:rFonts w:cstheme="minorHAnsi"/>
        </w:rPr>
        <w:t xml:space="preserve">Flexibility in the policy is important to allow for </w:t>
      </w:r>
      <w:proofErr w:type="gramStart"/>
      <w:r>
        <w:rPr>
          <w:rFonts w:cstheme="minorHAnsi"/>
        </w:rPr>
        <w:t>these kind of considerations</w:t>
      </w:r>
      <w:proofErr w:type="gramEnd"/>
      <w:r>
        <w:rPr>
          <w:rFonts w:cstheme="minorHAnsi"/>
        </w:rPr>
        <w:t>.</w:t>
      </w:r>
    </w:p>
    <w:p w14:paraId="19D7B829" w14:textId="77777777" w:rsidR="00BE4C2A" w:rsidRPr="00964871" w:rsidRDefault="00BE4C2A" w:rsidP="00BE4C2A">
      <w:pPr>
        <w:pStyle w:val="ListParagraph"/>
        <w:rPr>
          <w:rFonts w:ascii="Arial" w:hAnsi="Arial" w:cs="Arial"/>
        </w:rPr>
      </w:pPr>
    </w:p>
    <w:p w14:paraId="03C0C8A7" w14:textId="77777777" w:rsidR="00BE4C2A" w:rsidRPr="00F1125A" w:rsidRDefault="00BE4C2A" w:rsidP="00BE4C2A">
      <w:pPr>
        <w:pStyle w:val="ListParagraph"/>
        <w:numPr>
          <w:ilvl w:val="0"/>
          <w:numId w:val="8"/>
        </w:numPr>
        <w:rPr>
          <w:rFonts w:ascii="Arial" w:hAnsi="Arial" w:cs="Arial"/>
        </w:rPr>
      </w:pPr>
      <w:r w:rsidRPr="00F1125A">
        <w:rPr>
          <w:rFonts w:ascii="Arial" w:hAnsi="Arial" w:cs="Arial"/>
        </w:rPr>
        <w:t>The geographical distribution of development may impact on the Plan’s ability to deliver affordable housing where it is most needed.  HBF notes that the level of open-market housing provided may also impact on the amount of affordable housing that can be developed.</w:t>
      </w:r>
    </w:p>
    <w:p w14:paraId="15DE5449" w14:textId="77777777" w:rsidR="00BE4C2A" w:rsidRDefault="00BE4C2A" w:rsidP="00BE4C2A">
      <w:pPr>
        <w:pStyle w:val="ListParagraph"/>
        <w:rPr>
          <w:rFonts w:ascii="Arial" w:hAnsi="Arial" w:cs="Arial"/>
        </w:rPr>
      </w:pPr>
    </w:p>
    <w:p w14:paraId="0D542F0B" w14:textId="77777777" w:rsidR="00BE4C2A" w:rsidRDefault="00BE4C2A" w:rsidP="00BE4C2A">
      <w:pPr>
        <w:pStyle w:val="ListParagraph"/>
        <w:numPr>
          <w:ilvl w:val="0"/>
          <w:numId w:val="8"/>
        </w:numPr>
        <w:rPr>
          <w:rFonts w:ascii="Arial" w:hAnsi="Arial" w:cs="Arial"/>
        </w:rPr>
      </w:pPr>
      <w:r>
        <w:rPr>
          <w:rFonts w:ascii="Arial" w:hAnsi="Arial" w:cs="Arial"/>
        </w:rPr>
        <w:t xml:space="preserve">It </w:t>
      </w:r>
      <w:proofErr w:type="gramStart"/>
      <w:r>
        <w:rPr>
          <w:rFonts w:ascii="Arial" w:hAnsi="Arial" w:cs="Arial"/>
        </w:rPr>
        <w:t>will be also be</w:t>
      </w:r>
      <w:proofErr w:type="gramEnd"/>
      <w:r>
        <w:rPr>
          <w:rFonts w:ascii="Arial" w:hAnsi="Arial" w:cs="Arial"/>
        </w:rPr>
        <w:t xml:space="preserve"> important to understand if there any geographically specific </w:t>
      </w:r>
      <w:r w:rsidRPr="00C94EE1">
        <w:rPr>
          <w:rFonts w:ascii="Arial" w:hAnsi="Arial" w:cs="Arial"/>
        </w:rPr>
        <w:t>viability considerations</w:t>
      </w:r>
      <w:r>
        <w:rPr>
          <w:rFonts w:ascii="Arial" w:hAnsi="Arial" w:cs="Arial"/>
        </w:rPr>
        <w:t xml:space="preserve">, such as </w:t>
      </w:r>
      <w:r w:rsidRPr="00C94EE1">
        <w:rPr>
          <w:rFonts w:ascii="Arial" w:hAnsi="Arial" w:cs="Arial"/>
        </w:rPr>
        <w:t xml:space="preserve">whether higher levels of open-market housing are required in </w:t>
      </w:r>
      <w:r>
        <w:rPr>
          <w:rFonts w:ascii="Arial" w:hAnsi="Arial" w:cs="Arial"/>
        </w:rPr>
        <w:t xml:space="preserve">particular areas in </w:t>
      </w:r>
      <w:r w:rsidRPr="00C94EE1">
        <w:rPr>
          <w:rFonts w:ascii="Arial" w:hAnsi="Arial" w:cs="Arial"/>
        </w:rPr>
        <w:t>order to secure increased delivery of affordable housing</w:t>
      </w:r>
      <w:r>
        <w:rPr>
          <w:rFonts w:ascii="Arial" w:hAnsi="Arial" w:cs="Arial"/>
        </w:rPr>
        <w:t xml:space="preserve"> in that location in a way that remains viable.  Similarly, brownfield city centre sites tend to be most suited for apartments or retirement living.  There will therefore be a need to include green fields allocations which are more likely to deliver family housing and a higher percentage of affordable housing, </w:t>
      </w:r>
      <w:proofErr w:type="gramStart"/>
      <w:r>
        <w:rPr>
          <w:rFonts w:ascii="Arial" w:hAnsi="Arial" w:cs="Arial"/>
        </w:rPr>
        <w:t>in order to</w:t>
      </w:r>
      <w:proofErr w:type="gramEnd"/>
      <w:r>
        <w:rPr>
          <w:rFonts w:ascii="Arial" w:hAnsi="Arial" w:cs="Arial"/>
        </w:rPr>
        <w:t xml:space="preserve"> provide </w:t>
      </w:r>
      <w:r w:rsidRPr="00C94EE1">
        <w:rPr>
          <w:rFonts w:ascii="Arial" w:hAnsi="Arial" w:cs="Arial"/>
        </w:rPr>
        <w:t>flexibility</w:t>
      </w:r>
      <w:r>
        <w:rPr>
          <w:rFonts w:ascii="Arial" w:hAnsi="Arial" w:cs="Arial"/>
        </w:rPr>
        <w:t xml:space="preserve"> in the housing land supply and ensure a range of housing types and tenures is provided.  This adds further weigh to the need to consider Green Belt release(s).</w:t>
      </w:r>
    </w:p>
    <w:p w14:paraId="719D6726" w14:textId="77777777" w:rsidR="00BE4C2A" w:rsidRPr="00493255" w:rsidRDefault="00BE4C2A" w:rsidP="00BE4C2A">
      <w:pPr>
        <w:pStyle w:val="ListParagraph"/>
        <w:rPr>
          <w:rFonts w:ascii="Arial" w:hAnsi="Arial" w:cs="Arial"/>
        </w:rPr>
      </w:pPr>
    </w:p>
    <w:p w14:paraId="3E8B18D0" w14:textId="77777777" w:rsidR="00BE4C2A" w:rsidRDefault="00BE4C2A" w:rsidP="00BE4C2A">
      <w:pPr>
        <w:pStyle w:val="ListParagraph"/>
        <w:numPr>
          <w:ilvl w:val="0"/>
          <w:numId w:val="8"/>
        </w:numPr>
        <w:rPr>
          <w:rFonts w:ascii="Arial" w:hAnsi="Arial" w:cs="Arial"/>
        </w:rPr>
      </w:pPr>
      <w:r w:rsidRPr="00493255">
        <w:rPr>
          <w:rFonts w:ascii="Arial" w:hAnsi="Arial" w:cs="Arial"/>
        </w:rPr>
        <w:t xml:space="preserve">The HBF does not comment on individual sites, other than to say the Plan should provide for a wide range of deliverable and developable sites across the area </w:t>
      </w:r>
      <w:proofErr w:type="gramStart"/>
      <w:r w:rsidRPr="00493255">
        <w:rPr>
          <w:rFonts w:ascii="Arial" w:hAnsi="Arial" w:cs="Arial"/>
        </w:rPr>
        <w:t>in order to</w:t>
      </w:r>
      <w:proofErr w:type="gramEnd"/>
      <w:r w:rsidRPr="00493255">
        <w:rPr>
          <w:rFonts w:ascii="Arial" w:hAnsi="Arial" w:cs="Arial"/>
        </w:rPr>
        <w:t xml:space="preserve"> provide competition and choice and a buffer to ensure that housing needs are met in full. The soundness of strategic and non-strategic site allocations, whether brownfield or greenfield, will be tested in due course at the Local Plan Examination.</w:t>
      </w:r>
    </w:p>
    <w:p w14:paraId="30E91110" w14:textId="77777777" w:rsidR="00BE4C2A" w:rsidRPr="00BE4C2A" w:rsidRDefault="00BE4C2A" w:rsidP="00BE4C2A">
      <w:pPr>
        <w:pStyle w:val="ListParagraph"/>
        <w:rPr>
          <w:rFonts w:ascii="Arial" w:hAnsi="Arial" w:cs="Arial"/>
        </w:rPr>
      </w:pPr>
    </w:p>
    <w:p w14:paraId="2061C23E" w14:textId="6E9DDDC3" w:rsidR="008C67D1" w:rsidRPr="00D90FCC" w:rsidRDefault="008C67D1" w:rsidP="008C67D1">
      <w:pPr>
        <w:pStyle w:val="ListParagraph"/>
        <w:rPr>
          <w:rFonts w:ascii="Arial" w:hAnsi="Arial" w:cs="Arial"/>
        </w:rPr>
      </w:pPr>
      <w:r w:rsidRPr="007C70B3">
        <w:rPr>
          <w:rFonts w:ascii="Arial" w:hAnsi="Arial" w:cs="Arial"/>
          <w:b/>
          <w:bCs/>
        </w:rPr>
        <w:t>Policy SHO</w:t>
      </w:r>
      <w:r>
        <w:rPr>
          <w:rFonts w:ascii="Arial" w:hAnsi="Arial" w:cs="Arial"/>
          <w:b/>
          <w:bCs/>
        </w:rPr>
        <w:t>5</w:t>
      </w:r>
      <w:r w:rsidRPr="007C70B3">
        <w:rPr>
          <w:rFonts w:ascii="Arial" w:hAnsi="Arial" w:cs="Arial"/>
          <w:b/>
          <w:bCs/>
        </w:rPr>
        <w:t xml:space="preserve">- </w:t>
      </w:r>
      <w:r w:rsidRPr="00D90FCC">
        <w:rPr>
          <w:rFonts w:ascii="Arial" w:hAnsi="Arial" w:cs="Arial"/>
          <w:b/>
          <w:bCs/>
        </w:rPr>
        <w:t xml:space="preserve">Delivering Wheelchair Accessible and Self/custom build </w:t>
      </w:r>
      <w:proofErr w:type="gramStart"/>
      <w:r w:rsidRPr="00D90FCC">
        <w:rPr>
          <w:rFonts w:ascii="Arial" w:hAnsi="Arial" w:cs="Arial"/>
          <w:b/>
          <w:bCs/>
        </w:rPr>
        <w:t>Housing</w:t>
      </w:r>
      <w:proofErr w:type="gramEnd"/>
    </w:p>
    <w:p w14:paraId="7EE86338" w14:textId="77777777" w:rsidR="008C67D1" w:rsidRDefault="008C67D1" w:rsidP="008C67D1">
      <w:pPr>
        <w:pStyle w:val="ListParagraph"/>
        <w:spacing w:line="276" w:lineRule="auto"/>
        <w:rPr>
          <w:rFonts w:ascii="Arial" w:hAnsi="Arial" w:cs="Arial"/>
        </w:rPr>
      </w:pPr>
    </w:p>
    <w:p w14:paraId="06D4334C" w14:textId="52CC33B4" w:rsidR="008C67D1" w:rsidRDefault="008C67D1" w:rsidP="008C67D1">
      <w:pPr>
        <w:pStyle w:val="ListParagraph"/>
        <w:spacing w:line="276" w:lineRule="auto"/>
        <w:rPr>
          <w:rFonts w:ascii="Arial" w:hAnsi="Arial" w:cs="Arial"/>
          <w:i/>
          <w:iCs/>
        </w:rPr>
      </w:pPr>
      <w:r w:rsidRPr="00FF04CF">
        <w:rPr>
          <w:rFonts w:ascii="Arial" w:hAnsi="Arial" w:cs="Arial"/>
          <w:i/>
          <w:iCs/>
        </w:rPr>
        <w:t>The Policy is not considered to be sound as it is not justified or effective or in line with national policy.</w:t>
      </w:r>
    </w:p>
    <w:p w14:paraId="7160BC7A" w14:textId="77777777" w:rsidR="006860B9" w:rsidRPr="006860B9" w:rsidRDefault="006860B9" w:rsidP="006860B9">
      <w:pPr>
        <w:pStyle w:val="ListParagraph"/>
        <w:rPr>
          <w:rFonts w:ascii="Arial" w:hAnsi="Arial" w:cs="Arial"/>
        </w:rPr>
      </w:pPr>
    </w:p>
    <w:p w14:paraId="395C1071" w14:textId="2997FAD1" w:rsidR="006860B9" w:rsidRPr="00D90FCC" w:rsidRDefault="006860B9" w:rsidP="006860B9">
      <w:pPr>
        <w:pStyle w:val="ListParagraph"/>
        <w:numPr>
          <w:ilvl w:val="0"/>
          <w:numId w:val="8"/>
        </w:numPr>
        <w:rPr>
          <w:rFonts w:ascii="Arial" w:hAnsi="Arial" w:cs="Arial"/>
        </w:rPr>
      </w:pPr>
      <w:r w:rsidRPr="00D90FCC">
        <w:rPr>
          <w:rFonts w:ascii="Arial" w:hAnsi="Arial" w:cs="Arial"/>
        </w:rPr>
        <w:t xml:space="preserve">This policy </w:t>
      </w:r>
      <w:r w:rsidR="008C67D1">
        <w:rPr>
          <w:rFonts w:ascii="Arial" w:hAnsi="Arial" w:cs="Arial"/>
        </w:rPr>
        <w:t xml:space="preserve">still </w:t>
      </w:r>
      <w:r w:rsidRPr="00D90FCC">
        <w:rPr>
          <w:rFonts w:ascii="Arial" w:hAnsi="Arial" w:cs="Arial"/>
        </w:rPr>
        <w:t>seeks to require all new residential developments to meet M4(2) (Accessible and adaptable dwellings) of Building Regulations and development of 10 or more units to provide 15% which meet M4(3) (Wheelchair user dwellings) on schemes of more than 20 homes.</w:t>
      </w:r>
    </w:p>
    <w:p w14:paraId="1BEF9166" w14:textId="77777777" w:rsidR="006860B9" w:rsidRPr="00D90FCC" w:rsidRDefault="006860B9" w:rsidP="006860B9">
      <w:pPr>
        <w:pStyle w:val="ListParagraph"/>
        <w:rPr>
          <w:rFonts w:ascii="Arial" w:hAnsi="Arial" w:cs="Arial"/>
        </w:rPr>
      </w:pPr>
    </w:p>
    <w:p w14:paraId="50A9C16F" w14:textId="77777777" w:rsidR="006860B9" w:rsidRPr="00D90FCC" w:rsidRDefault="006860B9" w:rsidP="006860B9">
      <w:pPr>
        <w:pStyle w:val="ListParagraph"/>
        <w:numPr>
          <w:ilvl w:val="0"/>
          <w:numId w:val="8"/>
        </w:numPr>
        <w:rPr>
          <w:rFonts w:ascii="Arial" w:hAnsi="Arial" w:cs="Arial"/>
        </w:rPr>
      </w:pPr>
      <w:r w:rsidRPr="00D90FCC">
        <w:rPr>
          <w:rFonts w:ascii="Arial" w:hAnsi="Arial" w:cs="Arial"/>
        </w:rPr>
        <w:t xml:space="preserve">The requirements to meet Part M4(2) will be superseded by changes to residential Building Regulations. The Government response to ‘Raising accessibility standards for new homes’ states that the Government proposes to mandate the current M4(2) requirement in Building Regulations as a </w:t>
      </w:r>
      <w:r w:rsidRPr="00D90FCC">
        <w:rPr>
          <w:rFonts w:ascii="Arial" w:hAnsi="Arial" w:cs="Arial"/>
        </w:rPr>
        <w:lastRenderedPageBreak/>
        <w:t xml:space="preserve">minimum for all new homes, with M4(1) applying in exceptional circumstances. This will be subject to a further consultation on the technical details and will be implemented in due course through the Building Regulations. The requirement to address this issue is planning policy is therefore unnecessary.  </w:t>
      </w:r>
    </w:p>
    <w:p w14:paraId="1B6E8ED3" w14:textId="77777777" w:rsidR="006860B9" w:rsidRPr="00D90FCC" w:rsidRDefault="006860B9" w:rsidP="006860B9">
      <w:pPr>
        <w:pStyle w:val="ListParagraph"/>
        <w:rPr>
          <w:rFonts w:ascii="Arial" w:hAnsi="Arial" w:cs="Arial"/>
        </w:rPr>
      </w:pPr>
    </w:p>
    <w:p w14:paraId="7B6A03C6" w14:textId="77777777" w:rsidR="006860B9" w:rsidRDefault="006860B9" w:rsidP="006860B9">
      <w:pPr>
        <w:pStyle w:val="ListParagraph"/>
        <w:numPr>
          <w:ilvl w:val="0"/>
          <w:numId w:val="8"/>
        </w:numPr>
        <w:rPr>
          <w:rFonts w:ascii="Arial" w:hAnsi="Arial" w:cs="Arial"/>
        </w:rPr>
      </w:pPr>
      <w:r w:rsidRPr="00D90FCC">
        <w:rPr>
          <w:rFonts w:ascii="Arial" w:hAnsi="Arial" w:cs="Arial"/>
        </w:rPr>
        <w:t>HBF are of the view that this matter should</w:t>
      </w:r>
      <w:r w:rsidRPr="002034D6">
        <w:rPr>
          <w:rFonts w:ascii="Arial" w:hAnsi="Arial" w:cs="Arial"/>
        </w:rPr>
        <w:t xml:space="preserve"> be left to Building Regulations, however if a policy were to be needed, the wording needs to differentiate between Part a) and part b) of M4(3) technical standards.  </w:t>
      </w:r>
      <w:r w:rsidRPr="004F7F48">
        <w:rPr>
          <w:rFonts w:ascii="Arial" w:hAnsi="Arial" w:cs="Arial"/>
        </w:rPr>
        <w:t xml:space="preserve">M43a sets out standards for wheelchair adaptable housing, where M43b relates to wheelchair accessible housing which can only be required on affordable housing where the Council has nomination rights. </w:t>
      </w:r>
      <w:r w:rsidRPr="002034D6">
        <w:rPr>
          <w:rFonts w:ascii="Arial" w:hAnsi="Arial" w:cs="Arial"/>
        </w:rPr>
        <w:t>Any such requirements would also need to be fully considered from a viability perspective.</w:t>
      </w:r>
    </w:p>
    <w:p w14:paraId="2D1FBBF1" w14:textId="77777777" w:rsidR="006860B9" w:rsidRPr="00F252B6" w:rsidRDefault="006860B9" w:rsidP="006860B9">
      <w:pPr>
        <w:pStyle w:val="ListParagraph"/>
        <w:rPr>
          <w:rFonts w:ascii="Arial" w:hAnsi="Arial" w:cs="Arial"/>
        </w:rPr>
      </w:pPr>
    </w:p>
    <w:p w14:paraId="3579CD84" w14:textId="77777777" w:rsidR="006860B9" w:rsidRPr="00163B1F" w:rsidRDefault="006860B9" w:rsidP="006860B9">
      <w:pPr>
        <w:pStyle w:val="ListParagraph"/>
        <w:numPr>
          <w:ilvl w:val="0"/>
          <w:numId w:val="8"/>
        </w:numPr>
        <w:rPr>
          <w:rFonts w:cstheme="minorHAnsi"/>
        </w:rPr>
      </w:pPr>
      <w:r w:rsidRPr="00163B1F">
        <w:rPr>
          <w:rFonts w:cstheme="minorHAnsi"/>
        </w:rPr>
        <w:t>The PPG states:</w:t>
      </w:r>
    </w:p>
    <w:p w14:paraId="1CCE06F0" w14:textId="77777777" w:rsidR="006860B9" w:rsidRPr="00163B1F" w:rsidRDefault="006860B9" w:rsidP="006860B9">
      <w:pPr>
        <w:pStyle w:val="ListParagraph"/>
        <w:rPr>
          <w:rFonts w:cstheme="minorHAnsi"/>
        </w:rPr>
      </w:pPr>
    </w:p>
    <w:p w14:paraId="26ECF1B1" w14:textId="77777777" w:rsidR="006860B9" w:rsidRPr="00A00E2C" w:rsidRDefault="006860B9" w:rsidP="006860B9">
      <w:pPr>
        <w:pStyle w:val="ListParagraph"/>
        <w:ind w:left="1440"/>
        <w:rPr>
          <w:rFonts w:cstheme="minorHAnsi"/>
          <w:b/>
          <w:bCs/>
        </w:rPr>
      </w:pPr>
      <w:r w:rsidRPr="00A00E2C">
        <w:rPr>
          <w:rFonts w:cstheme="minorHAnsi"/>
          <w:b/>
          <w:bCs/>
        </w:rPr>
        <w:t>“What accessibility standards can local planning authorities require from new development?</w:t>
      </w:r>
    </w:p>
    <w:p w14:paraId="6B00D83C" w14:textId="77777777" w:rsidR="006860B9" w:rsidRPr="00163B1F" w:rsidRDefault="006860B9" w:rsidP="006860B9">
      <w:pPr>
        <w:pStyle w:val="ListParagraph"/>
        <w:rPr>
          <w:rFonts w:cstheme="minorHAnsi"/>
        </w:rPr>
      </w:pPr>
    </w:p>
    <w:p w14:paraId="1A7453D6" w14:textId="77777777" w:rsidR="006860B9" w:rsidRPr="00163B1F" w:rsidRDefault="006860B9" w:rsidP="006860B9">
      <w:pPr>
        <w:pStyle w:val="ListParagraph"/>
        <w:ind w:left="1440"/>
        <w:rPr>
          <w:rFonts w:cstheme="minorHAnsi"/>
        </w:rPr>
      </w:pPr>
      <w:r w:rsidRPr="00163B1F">
        <w:rPr>
          <w:rFonts w:cstheme="minorHAnsi"/>
        </w:rPr>
        <w:t>Where a local planning authority adopts a policy to provide enhanced accessibility or adaptability they should do so only by reference to Requirement M4(2) and/or M4(3) of the optional requirements in the Building Regulations and should not impose any additional information requirements (for instance provision of furnished layouts) or seek to determine compliance with these requirements, which is the role of the Building Control Body. They should clearly state in their Local Plan what proportion of new dwellings should comply with the requirements. There may be rare instances where an individual’s needs are not met by the wheelchair accessible optional requirement – see paragraph 011 below.</w:t>
      </w:r>
    </w:p>
    <w:p w14:paraId="7BC0EAB7" w14:textId="77777777" w:rsidR="006860B9" w:rsidRPr="00163B1F" w:rsidRDefault="006860B9" w:rsidP="006860B9">
      <w:pPr>
        <w:pStyle w:val="ListParagraph"/>
        <w:rPr>
          <w:rFonts w:cstheme="minorHAnsi"/>
        </w:rPr>
      </w:pPr>
    </w:p>
    <w:p w14:paraId="32F9749A" w14:textId="77777777" w:rsidR="006860B9" w:rsidRDefault="006860B9" w:rsidP="006860B9">
      <w:pPr>
        <w:pStyle w:val="ListParagraph"/>
        <w:ind w:left="1440"/>
        <w:rPr>
          <w:rFonts w:cstheme="minorHAnsi"/>
        </w:rPr>
      </w:pPr>
      <w:r w:rsidRPr="00163B1F">
        <w:rPr>
          <w:rFonts w:cstheme="minorHAnsi"/>
        </w:rPr>
        <w:t xml:space="preserve">Local Plan policies should also </w:t>
      </w:r>
      <w:proofErr w:type="gramStart"/>
      <w:r w:rsidRPr="00163B1F">
        <w:rPr>
          <w:rFonts w:cstheme="minorHAnsi"/>
        </w:rPr>
        <w:t>take into account</w:t>
      </w:r>
      <w:proofErr w:type="gramEnd"/>
      <w:r w:rsidRPr="00163B1F">
        <w:rPr>
          <w:rFonts w:cstheme="minorHAnsi"/>
        </w:rPr>
        <w:t xml:space="preserve"> site specific factors such as vulnerability to flooding, site topography, and other circumstances which may make a specific site less suitable for M4(2) and M4(3) compliant dwellings, particularly where step free access cannot be achieved or is not viable. Where step-free access is not viable, neither of the Optional Requirements in Part M should be applied.”</w:t>
      </w:r>
    </w:p>
    <w:p w14:paraId="26FB172E" w14:textId="77777777" w:rsidR="006860B9" w:rsidRPr="00163B1F" w:rsidRDefault="006860B9" w:rsidP="006860B9">
      <w:pPr>
        <w:pStyle w:val="ListParagraph"/>
        <w:ind w:left="1440"/>
        <w:rPr>
          <w:rFonts w:cstheme="minorHAnsi"/>
        </w:rPr>
      </w:pPr>
    </w:p>
    <w:p w14:paraId="09B51462" w14:textId="77777777" w:rsidR="006860B9" w:rsidRPr="00163B1F" w:rsidRDefault="006860B9" w:rsidP="006860B9">
      <w:pPr>
        <w:pStyle w:val="ListParagraph"/>
        <w:ind w:left="2880"/>
        <w:rPr>
          <w:rFonts w:cstheme="minorHAnsi"/>
        </w:rPr>
      </w:pPr>
      <w:r w:rsidRPr="00163B1F">
        <w:rPr>
          <w:rFonts w:cstheme="minorHAnsi"/>
        </w:rPr>
        <w:t>Paragraph: 008 Reference ID: 56-008-20160519 Revision date: 19 05 2016</w:t>
      </w:r>
    </w:p>
    <w:p w14:paraId="02DBB0D2" w14:textId="77777777" w:rsidR="006860B9" w:rsidRPr="00163B1F" w:rsidRDefault="006860B9" w:rsidP="006860B9">
      <w:pPr>
        <w:pStyle w:val="ListParagraph"/>
        <w:rPr>
          <w:rFonts w:cstheme="minorHAnsi"/>
        </w:rPr>
      </w:pPr>
    </w:p>
    <w:p w14:paraId="411B2B20" w14:textId="77777777" w:rsidR="006860B9" w:rsidRDefault="006860B9" w:rsidP="006860B9">
      <w:pPr>
        <w:pStyle w:val="ListParagraph"/>
        <w:numPr>
          <w:ilvl w:val="0"/>
          <w:numId w:val="8"/>
        </w:numPr>
        <w:rPr>
          <w:rFonts w:cstheme="minorHAnsi"/>
        </w:rPr>
      </w:pPr>
      <w:r w:rsidRPr="00942AE4">
        <w:rPr>
          <w:rFonts w:cstheme="minorHAnsi"/>
        </w:rPr>
        <w:t xml:space="preserve">The PPG sets out some of the circumstances where it would be unreasonable to require M4(2) and M4(3) compliant dwellings.  Such factors include flooding, </w:t>
      </w:r>
      <w:proofErr w:type="gramStart"/>
      <w:r w:rsidRPr="00942AE4">
        <w:rPr>
          <w:rFonts w:cstheme="minorHAnsi"/>
        </w:rPr>
        <w:t>typography</w:t>
      </w:r>
      <w:proofErr w:type="gramEnd"/>
      <w:r w:rsidRPr="00942AE4">
        <w:rPr>
          <w:rFonts w:cstheme="minorHAnsi"/>
        </w:rPr>
        <w:t xml:space="preserve"> and other circumstances.  HBF suggest that flexibility is needed in the application of these standards to reflect site specific characteristics, and the policy wording should reflect this.  HBF do not believe this policy is sound without this flexibility</w:t>
      </w:r>
      <w:r>
        <w:rPr>
          <w:rFonts w:cstheme="minorHAnsi"/>
        </w:rPr>
        <w:t>, as it fails to comply with national policy and is not effective or justified.</w:t>
      </w:r>
    </w:p>
    <w:p w14:paraId="4A52455D" w14:textId="77777777" w:rsidR="006860B9" w:rsidRPr="00942AE4" w:rsidRDefault="006860B9" w:rsidP="006860B9">
      <w:pPr>
        <w:pStyle w:val="ListParagraph"/>
        <w:rPr>
          <w:rFonts w:cstheme="minorHAnsi"/>
        </w:rPr>
      </w:pPr>
    </w:p>
    <w:p w14:paraId="513BF05A" w14:textId="77777777" w:rsidR="006860B9" w:rsidRPr="002B7CB6" w:rsidRDefault="006860B9" w:rsidP="006860B9">
      <w:pPr>
        <w:pStyle w:val="ListParagraph"/>
        <w:numPr>
          <w:ilvl w:val="0"/>
          <w:numId w:val="8"/>
        </w:numPr>
        <w:spacing w:line="276" w:lineRule="auto"/>
        <w:jc w:val="both"/>
        <w:rPr>
          <w:rFonts w:ascii="Arial" w:hAnsi="Arial" w:cs="Arial"/>
        </w:rPr>
      </w:pPr>
      <w:r w:rsidRPr="002B7CB6">
        <w:rPr>
          <w:rFonts w:ascii="Arial" w:hAnsi="Arial" w:cs="Arial"/>
        </w:rPr>
        <w:lastRenderedPageBreak/>
        <w:t xml:space="preserve">In relation to Self-Build and Custom Build Plots, the policy requires sites of </w:t>
      </w:r>
      <w:r>
        <w:rPr>
          <w:rFonts w:ascii="Arial" w:hAnsi="Arial" w:cs="Arial"/>
        </w:rPr>
        <w:t xml:space="preserve">100 </w:t>
      </w:r>
      <w:r w:rsidRPr="002B7CB6">
        <w:rPr>
          <w:rFonts w:ascii="Arial" w:hAnsi="Arial" w:cs="Arial"/>
        </w:rPr>
        <w:t xml:space="preserve">or more dwellings, to provide </w:t>
      </w:r>
      <w:r>
        <w:rPr>
          <w:rFonts w:ascii="Arial" w:hAnsi="Arial" w:cs="Arial"/>
        </w:rPr>
        <w:t xml:space="preserve">at least </w:t>
      </w:r>
      <w:r w:rsidRPr="002B7CB6">
        <w:rPr>
          <w:rFonts w:ascii="Arial" w:hAnsi="Arial" w:cs="Arial"/>
        </w:rPr>
        <w:t xml:space="preserve">5% as serviced plots for self and custom </w:t>
      </w:r>
      <w:proofErr w:type="gramStart"/>
      <w:r w:rsidRPr="002B7CB6">
        <w:rPr>
          <w:rFonts w:ascii="Arial" w:hAnsi="Arial" w:cs="Arial"/>
        </w:rPr>
        <w:t>build</w:t>
      </w:r>
      <w:r>
        <w:rPr>
          <w:rFonts w:ascii="Arial" w:hAnsi="Arial" w:cs="Arial"/>
        </w:rPr>
        <w:t>, if</w:t>
      </w:r>
      <w:proofErr w:type="gramEnd"/>
      <w:r>
        <w:rPr>
          <w:rFonts w:ascii="Arial" w:hAnsi="Arial" w:cs="Arial"/>
        </w:rPr>
        <w:t xml:space="preserve"> there is evidence of demand</w:t>
      </w:r>
      <w:r w:rsidRPr="002B7CB6">
        <w:rPr>
          <w:rFonts w:ascii="Arial" w:hAnsi="Arial" w:cs="Arial"/>
        </w:rPr>
        <w:t>. I</w:t>
      </w:r>
      <w:r>
        <w:rPr>
          <w:rFonts w:ascii="Arial" w:hAnsi="Arial" w:cs="Arial"/>
        </w:rPr>
        <w:t xml:space="preserve">f after six months of a thorough </w:t>
      </w:r>
      <w:proofErr w:type="gramStart"/>
      <w:r>
        <w:rPr>
          <w:rFonts w:ascii="Arial" w:hAnsi="Arial" w:cs="Arial"/>
        </w:rPr>
        <w:t>an</w:t>
      </w:r>
      <w:proofErr w:type="gramEnd"/>
      <w:r>
        <w:rPr>
          <w:rFonts w:ascii="Arial" w:hAnsi="Arial" w:cs="Arial"/>
        </w:rPr>
        <w:t xml:space="preserve"> proportionate marketing exercise the plot remains unsold, the requirements falls away.</w:t>
      </w:r>
    </w:p>
    <w:p w14:paraId="0380984C" w14:textId="77777777" w:rsidR="006860B9" w:rsidRDefault="006860B9" w:rsidP="006860B9">
      <w:pPr>
        <w:pStyle w:val="ListParagraph"/>
        <w:spacing w:line="276" w:lineRule="auto"/>
        <w:rPr>
          <w:rFonts w:ascii="Arial" w:hAnsi="Arial" w:cs="Arial"/>
        </w:rPr>
      </w:pPr>
    </w:p>
    <w:p w14:paraId="775F48CA" w14:textId="77777777" w:rsidR="006860B9" w:rsidRDefault="006860B9" w:rsidP="006860B9">
      <w:pPr>
        <w:pStyle w:val="ListParagraph"/>
        <w:numPr>
          <w:ilvl w:val="0"/>
          <w:numId w:val="8"/>
        </w:numPr>
        <w:rPr>
          <w:rFonts w:ascii="Arial" w:hAnsi="Arial" w:cs="Arial"/>
        </w:rPr>
      </w:pPr>
      <w:r w:rsidRPr="00650C88">
        <w:rPr>
          <w:rFonts w:ascii="Arial" w:hAnsi="Arial" w:cs="Arial"/>
        </w:rPr>
        <w:t xml:space="preserve">HBF does not consider that requiring major developments to provide for self-builders is appropriate.  Instead, the HBF advocates for self and custom-build policies that encourage self and custom-build development by setting out where it will be supported in principle. The HBF considers that Councils can play a key role in facilitating the provision of land as set in the PPG. This could be done, for example, by using the Councils’ own land for such purposes and/or allocating sites specifically for self and custom-build home builders- although this would need to be done through discussion and negotiation with landowners. </w:t>
      </w:r>
    </w:p>
    <w:p w14:paraId="1D785B88" w14:textId="77777777" w:rsidR="006860B9" w:rsidRPr="000B59C2" w:rsidRDefault="006860B9" w:rsidP="006860B9">
      <w:pPr>
        <w:pStyle w:val="ListParagraph"/>
        <w:rPr>
          <w:rFonts w:ascii="Arial" w:hAnsi="Arial" w:cs="Arial"/>
        </w:rPr>
      </w:pPr>
    </w:p>
    <w:p w14:paraId="2D5C247C" w14:textId="77777777" w:rsidR="006860B9" w:rsidRDefault="006860B9" w:rsidP="006860B9">
      <w:pPr>
        <w:pStyle w:val="ListParagraph"/>
        <w:numPr>
          <w:ilvl w:val="0"/>
          <w:numId w:val="8"/>
        </w:numPr>
        <w:rPr>
          <w:rFonts w:ascii="Arial" w:hAnsi="Arial" w:cs="Arial"/>
        </w:rPr>
      </w:pPr>
      <w:r w:rsidRPr="001D4A3E">
        <w:rPr>
          <w:rFonts w:ascii="Arial" w:hAnsi="Arial" w:cs="Arial"/>
        </w:rPr>
        <w:t xml:space="preserve">It is considered unlikely that the provision of self and custom build plots on new housing developments can be co-ordinated with the development of the wider site. At any one time, there are often multiple contractors and large machinery operating on-site from both a practical and health and safety perspective, it is difficult to envisage the development of single plots by individuals operating alongside this construction activity. </w:t>
      </w:r>
    </w:p>
    <w:p w14:paraId="42F065BD" w14:textId="77777777" w:rsidR="006860B9" w:rsidRPr="00C63B17" w:rsidRDefault="006860B9" w:rsidP="006860B9">
      <w:pPr>
        <w:pStyle w:val="ListParagraph"/>
        <w:rPr>
          <w:rFonts w:ascii="Arial" w:hAnsi="Arial" w:cs="Arial"/>
        </w:rPr>
      </w:pPr>
    </w:p>
    <w:p w14:paraId="1B7BE272" w14:textId="77777777" w:rsidR="006860B9" w:rsidRDefault="006860B9" w:rsidP="006860B9">
      <w:pPr>
        <w:pStyle w:val="ListParagraph"/>
        <w:numPr>
          <w:ilvl w:val="0"/>
          <w:numId w:val="8"/>
        </w:numPr>
        <w:rPr>
          <w:rFonts w:cstheme="minorHAnsi"/>
        </w:rPr>
      </w:pPr>
      <w:r w:rsidRPr="001B580C">
        <w:rPr>
          <w:rFonts w:cstheme="minorHAnsi"/>
        </w:rPr>
        <w:t>HB</w:t>
      </w:r>
      <w:r>
        <w:rPr>
          <w:rFonts w:cstheme="minorHAnsi"/>
        </w:rPr>
        <w:t xml:space="preserve">F </w:t>
      </w:r>
      <w:r w:rsidRPr="001B580C">
        <w:rPr>
          <w:rFonts w:cstheme="minorHAnsi"/>
        </w:rPr>
        <w:t xml:space="preserve">agree that if demand for plots is not realised, </w:t>
      </w:r>
      <w:r>
        <w:rPr>
          <w:rFonts w:cstheme="minorHAnsi"/>
        </w:rPr>
        <w:t>i</w:t>
      </w:r>
      <w:r w:rsidRPr="001B580C">
        <w:rPr>
          <w:rFonts w:cstheme="minorHAnsi"/>
        </w:rPr>
        <w:t>t is important that plots should not be left empty to the detriment of neighbouring properties or the whole development. The timescale for reversion of these plots to the original housebuilder should be as short as possible from the commencement of development because the consequential delay in developing those plots presents further practical difficulties in terms of co-ordinating their development with construction activity on the wider site. There are even greater logistical problems created if the original housebuilder has completed the development and is forced to return to site to build out plots which have not been sold to self &amp; custom builders.  The</w:t>
      </w:r>
      <w:r>
        <w:rPr>
          <w:rFonts w:cstheme="minorHAnsi"/>
        </w:rPr>
        <w:t xml:space="preserve">refore, if the </w:t>
      </w:r>
      <w:r w:rsidRPr="001B580C">
        <w:rPr>
          <w:rFonts w:cstheme="minorHAnsi"/>
        </w:rPr>
        <w:t>current policy</w:t>
      </w:r>
      <w:r>
        <w:rPr>
          <w:rFonts w:cstheme="minorHAnsi"/>
        </w:rPr>
        <w:t xml:space="preserve"> requirements are retained HBF would support the suggestion that </w:t>
      </w:r>
      <w:r w:rsidRPr="001B580C">
        <w:rPr>
          <w:rFonts w:cstheme="minorHAnsi"/>
        </w:rPr>
        <w:t xml:space="preserve">any unsold plots remaining after the </w:t>
      </w:r>
      <w:r>
        <w:rPr>
          <w:rFonts w:cstheme="minorHAnsi"/>
        </w:rPr>
        <w:t>6</w:t>
      </w:r>
      <w:r w:rsidRPr="001B580C">
        <w:rPr>
          <w:rFonts w:cstheme="minorHAnsi"/>
        </w:rPr>
        <w:t xml:space="preserve">-month marketing period revert to the original developer.  </w:t>
      </w:r>
    </w:p>
    <w:p w14:paraId="1BE7AD8A" w14:textId="77777777" w:rsidR="005C4262" w:rsidRPr="005C4262" w:rsidRDefault="005C4262" w:rsidP="005C4262">
      <w:pPr>
        <w:pStyle w:val="ListParagraph"/>
        <w:rPr>
          <w:rFonts w:cstheme="minorHAnsi"/>
        </w:rPr>
      </w:pPr>
    </w:p>
    <w:p w14:paraId="1040AADE" w14:textId="0D04324A" w:rsidR="005C4262" w:rsidRDefault="005C4262" w:rsidP="00782608">
      <w:pPr>
        <w:pStyle w:val="ListParagraph"/>
        <w:rPr>
          <w:rFonts w:cstheme="minorHAnsi"/>
          <w:b/>
          <w:bCs/>
        </w:rPr>
      </w:pPr>
      <w:r w:rsidRPr="00782608">
        <w:rPr>
          <w:rFonts w:cstheme="minorHAnsi"/>
          <w:b/>
          <w:bCs/>
        </w:rPr>
        <w:t>Missing Policy</w:t>
      </w:r>
      <w:r w:rsidR="00782608" w:rsidRPr="00782608">
        <w:rPr>
          <w:rFonts w:cstheme="minorHAnsi"/>
          <w:b/>
          <w:bCs/>
        </w:rPr>
        <w:t xml:space="preserve">- Previous </w:t>
      </w:r>
      <w:r w:rsidRPr="00782608">
        <w:rPr>
          <w:rFonts w:cstheme="minorHAnsi"/>
          <w:b/>
          <w:bCs/>
        </w:rPr>
        <w:t>Policy SH06</w:t>
      </w:r>
    </w:p>
    <w:p w14:paraId="6A359051" w14:textId="77777777" w:rsidR="00782608" w:rsidRPr="00782608" w:rsidRDefault="00782608" w:rsidP="00782608">
      <w:pPr>
        <w:pStyle w:val="ListParagraph"/>
        <w:rPr>
          <w:rFonts w:cstheme="minorHAnsi"/>
          <w:b/>
          <w:bCs/>
        </w:rPr>
      </w:pPr>
    </w:p>
    <w:p w14:paraId="3C56D24C" w14:textId="3EF14066" w:rsidR="006860B9" w:rsidRPr="00FF6AD9" w:rsidRDefault="00782608" w:rsidP="00FF6AD9">
      <w:pPr>
        <w:pStyle w:val="ListParagraph"/>
        <w:rPr>
          <w:rFonts w:ascii="Arial" w:hAnsi="Arial" w:cs="Arial"/>
          <w:i/>
          <w:iCs/>
        </w:rPr>
      </w:pPr>
      <w:bookmarkStart w:id="1" w:name="_Hlk182218223"/>
      <w:r w:rsidRPr="00FF6AD9">
        <w:rPr>
          <w:rFonts w:ascii="Arial" w:hAnsi="Arial" w:cs="Arial"/>
          <w:i/>
          <w:iCs/>
        </w:rPr>
        <w:t>The Policy is not considered to be sound as it is not justified or effective or in line with national policy.</w:t>
      </w:r>
    </w:p>
    <w:bookmarkEnd w:id="1"/>
    <w:p w14:paraId="3A3E21ED" w14:textId="77777777" w:rsidR="00FF6AD9" w:rsidRPr="00493255" w:rsidRDefault="00FF6AD9" w:rsidP="00FF6AD9">
      <w:pPr>
        <w:pStyle w:val="ListParagraph"/>
        <w:rPr>
          <w:rFonts w:ascii="Arial" w:hAnsi="Arial" w:cs="Arial"/>
        </w:rPr>
      </w:pPr>
    </w:p>
    <w:p w14:paraId="15A1A6E8" w14:textId="15089160" w:rsidR="00AF1A0C" w:rsidRDefault="003E5C66" w:rsidP="00AF1A0C">
      <w:pPr>
        <w:pStyle w:val="ListParagraph"/>
        <w:numPr>
          <w:ilvl w:val="0"/>
          <w:numId w:val="8"/>
        </w:numPr>
        <w:rPr>
          <w:rFonts w:ascii="Arial" w:hAnsi="Arial" w:cs="Arial"/>
        </w:rPr>
      </w:pPr>
      <w:r w:rsidRPr="00AF1A0C">
        <w:rPr>
          <w:rFonts w:ascii="Arial" w:hAnsi="Arial" w:cs="Arial"/>
        </w:rPr>
        <w:t xml:space="preserve">The Reg 18 version of the Sandwell Local Plan included a very </w:t>
      </w:r>
      <w:r w:rsidR="00AF1A0C" w:rsidRPr="00AF1A0C">
        <w:rPr>
          <w:rFonts w:ascii="Arial" w:hAnsi="Arial" w:cs="Arial"/>
        </w:rPr>
        <w:t>important</w:t>
      </w:r>
      <w:r w:rsidRPr="00AF1A0C">
        <w:rPr>
          <w:rFonts w:ascii="Arial" w:hAnsi="Arial" w:cs="Arial"/>
        </w:rPr>
        <w:t xml:space="preserve"> </w:t>
      </w:r>
      <w:r w:rsidR="00AF1A0C" w:rsidRPr="00AF1A0C">
        <w:rPr>
          <w:rFonts w:ascii="Arial" w:hAnsi="Arial" w:cs="Arial"/>
        </w:rPr>
        <w:t>policy</w:t>
      </w:r>
      <w:r w:rsidRPr="00AF1A0C">
        <w:rPr>
          <w:rFonts w:ascii="Arial" w:hAnsi="Arial" w:cs="Arial"/>
        </w:rPr>
        <w:t xml:space="preserve"> called “Financial</w:t>
      </w:r>
      <w:r w:rsidR="00AF1A0C" w:rsidRPr="00AF1A0C">
        <w:rPr>
          <w:rFonts w:ascii="Arial" w:hAnsi="Arial" w:cs="Arial"/>
        </w:rPr>
        <w:t xml:space="preserve"> V</w:t>
      </w:r>
      <w:r w:rsidRPr="00AF1A0C">
        <w:rPr>
          <w:rFonts w:ascii="Arial" w:hAnsi="Arial" w:cs="Arial"/>
        </w:rPr>
        <w:t>iability Assessments for Housing”.  H</w:t>
      </w:r>
      <w:r w:rsidR="00AF1A0C" w:rsidRPr="00AF1A0C">
        <w:rPr>
          <w:rFonts w:ascii="Arial" w:hAnsi="Arial" w:cs="Arial"/>
        </w:rPr>
        <w:t>BF</w:t>
      </w:r>
      <w:r w:rsidRPr="00AF1A0C">
        <w:rPr>
          <w:rFonts w:ascii="Arial" w:hAnsi="Arial" w:cs="Arial"/>
        </w:rPr>
        <w:t xml:space="preserve"> made </w:t>
      </w:r>
      <w:r w:rsidR="00AF1A0C" w:rsidRPr="00AF1A0C">
        <w:rPr>
          <w:rFonts w:ascii="Arial" w:hAnsi="Arial" w:cs="Arial"/>
        </w:rPr>
        <w:t>comments</w:t>
      </w:r>
      <w:r w:rsidRPr="00AF1A0C">
        <w:rPr>
          <w:rFonts w:ascii="Arial" w:hAnsi="Arial" w:cs="Arial"/>
        </w:rPr>
        <w:t xml:space="preserve"> on this policy</w:t>
      </w:r>
      <w:r w:rsidR="00AF1A0C" w:rsidRPr="00AF1A0C">
        <w:rPr>
          <w:rFonts w:ascii="Arial" w:hAnsi="Arial" w:cs="Arial"/>
        </w:rPr>
        <w:t xml:space="preserve"> saying “As the whole plan viability methodology uses typologies, this means there may be individual sites that are not viable, for example if the costs or vales of a specific site fall outside the parameters used of a typology that was tested.  Some site will be on the very margins of viability and other sites may already be unviable even without a change of </w:t>
      </w:r>
      <w:r w:rsidR="00AF1A0C" w:rsidRPr="00AF1A0C">
        <w:rPr>
          <w:rFonts w:ascii="Arial" w:hAnsi="Arial" w:cs="Arial"/>
        </w:rPr>
        <w:lastRenderedPageBreak/>
        <w:t>circumstances.  HBF therefore support the recognition of the potential ned for flexibility in relation to site specific viability issues.</w:t>
      </w:r>
      <w:r w:rsidR="00AF1A0C">
        <w:rPr>
          <w:rFonts w:ascii="Arial" w:hAnsi="Arial" w:cs="Arial"/>
        </w:rPr>
        <w:t>”</w:t>
      </w:r>
    </w:p>
    <w:p w14:paraId="7F160433" w14:textId="77777777" w:rsidR="00AF1A0C" w:rsidRPr="00AF1A0C" w:rsidRDefault="00AF1A0C" w:rsidP="00AF1A0C">
      <w:pPr>
        <w:pStyle w:val="ListParagraph"/>
        <w:rPr>
          <w:rFonts w:ascii="Arial" w:hAnsi="Arial" w:cs="Arial"/>
        </w:rPr>
      </w:pPr>
    </w:p>
    <w:p w14:paraId="12B5E71F" w14:textId="75A6AA5C" w:rsidR="003E5C66" w:rsidRDefault="00AF1A0C" w:rsidP="0036456B">
      <w:pPr>
        <w:pStyle w:val="ListParagraph"/>
        <w:numPr>
          <w:ilvl w:val="0"/>
          <w:numId w:val="8"/>
        </w:numPr>
        <w:rPr>
          <w:rFonts w:ascii="Arial" w:hAnsi="Arial" w:cs="Arial"/>
        </w:rPr>
      </w:pPr>
      <w:r>
        <w:rPr>
          <w:rFonts w:ascii="Arial" w:hAnsi="Arial" w:cs="Arial"/>
        </w:rPr>
        <w:t xml:space="preserve">The flexibility this policy offered is an important part of ensuring the Plan is effective and deliverability.  A policy on this matter is needed for the Plan </w:t>
      </w:r>
      <w:r w:rsidR="00C662F6">
        <w:rPr>
          <w:rFonts w:ascii="Arial" w:hAnsi="Arial" w:cs="Arial"/>
        </w:rPr>
        <w:t>to</w:t>
      </w:r>
      <w:r>
        <w:rPr>
          <w:rFonts w:ascii="Arial" w:hAnsi="Arial" w:cs="Arial"/>
        </w:rPr>
        <w:t xml:space="preserve"> be sound.</w:t>
      </w:r>
    </w:p>
    <w:p w14:paraId="63B613A0" w14:textId="77777777" w:rsidR="00AF1A0C" w:rsidRPr="00AF1A0C" w:rsidRDefault="00AF1A0C" w:rsidP="00AF1A0C">
      <w:pPr>
        <w:pStyle w:val="ListParagraph"/>
        <w:rPr>
          <w:rFonts w:ascii="Arial" w:hAnsi="Arial" w:cs="Arial"/>
        </w:rPr>
      </w:pPr>
    </w:p>
    <w:p w14:paraId="155C76C0" w14:textId="77777777" w:rsidR="000432F4" w:rsidRDefault="000432F4" w:rsidP="000432F4">
      <w:pPr>
        <w:pStyle w:val="ListParagraph"/>
        <w:spacing w:line="276" w:lineRule="auto"/>
        <w:jc w:val="both"/>
        <w:rPr>
          <w:rFonts w:ascii="Arial" w:hAnsi="Arial" w:cs="Arial"/>
          <w:b/>
          <w:bCs/>
        </w:rPr>
      </w:pPr>
      <w:r w:rsidRPr="002A51CC">
        <w:rPr>
          <w:rFonts w:ascii="Arial" w:hAnsi="Arial" w:cs="Arial"/>
          <w:b/>
          <w:bCs/>
        </w:rPr>
        <w:t>Policy SDM1 – Design Quality</w:t>
      </w:r>
    </w:p>
    <w:p w14:paraId="5EF410A9" w14:textId="77777777" w:rsidR="000432F4" w:rsidRPr="002A51CC" w:rsidRDefault="000432F4" w:rsidP="000432F4">
      <w:pPr>
        <w:pStyle w:val="ListParagraph"/>
        <w:spacing w:line="276" w:lineRule="auto"/>
        <w:jc w:val="both"/>
        <w:rPr>
          <w:rFonts w:ascii="Arial" w:hAnsi="Arial" w:cs="Arial"/>
          <w:b/>
          <w:bCs/>
        </w:rPr>
      </w:pPr>
    </w:p>
    <w:p w14:paraId="6F2FD5F1" w14:textId="77777777" w:rsidR="000432F4" w:rsidRPr="00FF6AD9" w:rsidRDefault="000432F4" w:rsidP="000432F4">
      <w:pPr>
        <w:pStyle w:val="ListParagraph"/>
        <w:rPr>
          <w:rFonts w:ascii="Arial" w:hAnsi="Arial" w:cs="Arial"/>
          <w:i/>
          <w:iCs/>
        </w:rPr>
      </w:pPr>
      <w:r w:rsidRPr="00FF6AD9">
        <w:rPr>
          <w:rFonts w:ascii="Arial" w:hAnsi="Arial" w:cs="Arial"/>
          <w:i/>
          <w:iCs/>
        </w:rPr>
        <w:t>The Policy is not considered to be sound as it is not justified or effective or in line with national policy.</w:t>
      </w:r>
    </w:p>
    <w:p w14:paraId="17445B46" w14:textId="77777777" w:rsidR="000432F4" w:rsidRPr="00BE126D" w:rsidRDefault="000432F4" w:rsidP="000432F4">
      <w:pPr>
        <w:pStyle w:val="ListParagraph"/>
        <w:spacing w:line="276" w:lineRule="auto"/>
        <w:jc w:val="both"/>
        <w:rPr>
          <w:rFonts w:ascii="Arial" w:hAnsi="Arial" w:cs="Arial"/>
        </w:rPr>
      </w:pPr>
    </w:p>
    <w:p w14:paraId="346E56C2" w14:textId="77777777" w:rsidR="000432F4" w:rsidRDefault="000432F4" w:rsidP="000432F4">
      <w:pPr>
        <w:pStyle w:val="ListParagraph"/>
        <w:numPr>
          <w:ilvl w:val="0"/>
          <w:numId w:val="8"/>
        </w:numPr>
        <w:spacing w:line="276" w:lineRule="auto"/>
        <w:jc w:val="both"/>
        <w:rPr>
          <w:rFonts w:ascii="Arial" w:hAnsi="Arial" w:cs="Arial"/>
        </w:rPr>
      </w:pPr>
      <w:r w:rsidRPr="00F81553">
        <w:rPr>
          <w:rFonts w:ascii="Arial" w:hAnsi="Arial" w:cs="Arial"/>
        </w:rPr>
        <w:t xml:space="preserve">HBF </w:t>
      </w:r>
      <w:r>
        <w:rPr>
          <w:rFonts w:ascii="Arial" w:hAnsi="Arial" w:cs="Arial"/>
        </w:rPr>
        <w:t xml:space="preserve">are </w:t>
      </w:r>
      <w:r w:rsidRPr="00F81553">
        <w:rPr>
          <w:rFonts w:ascii="Arial" w:hAnsi="Arial" w:cs="Arial"/>
        </w:rPr>
        <w:t>supportive of the use of ‘Building for a Healthy Life’ as best practice guidance</w:t>
      </w:r>
      <w:r>
        <w:rPr>
          <w:rFonts w:ascii="Arial" w:hAnsi="Arial" w:cs="Arial"/>
        </w:rPr>
        <w:t xml:space="preserve"> </w:t>
      </w:r>
      <w:r w:rsidRPr="00F81553">
        <w:rPr>
          <w:rFonts w:ascii="Arial" w:hAnsi="Arial" w:cs="Arial"/>
        </w:rPr>
        <w:t xml:space="preserve">but suggest its use should remain voluntary rather than becoming a mandatory policy requirement.  Building for a Healthy Life is not really a ‘standard’ to be achieved, but rather a toolkit for considering design and thinking about the qualities of successful places.  </w:t>
      </w:r>
    </w:p>
    <w:p w14:paraId="2D842FF0" w14:textId="77777777" w:rsidR="00C511F7" w:rsidRPr="00F81553" w:rsidRDefault="00C511F7" w:rsidP="00C511F7">
      <w:pPr>
        <w:pStyle w:val="ListParagraph"/>
        <w:spacing w:line="276" w:lineRule="auto"/>
        <w:jc w:val="both"/>
        <w:rPr>
          <w:rFonts w:ascii="Arial" w:hAnsi="Arial" w:cs="Arial"/>
        </w:rPr>
      </w:pPr>
    </w:p>
    <w:p w14:paraId="1511A64F" w14:textId="77777777" w:rsidR="00487DF2" w:rsidRPr="00E1115E" w:rsidRDefault="00487DF2" w:rsidP="00487DF2">
      <w:pPr>
        <w:pStyle w:val="ListParagraph"/>
        <w:spacing w:line="276" w:lineRule="auto"/>
        <w:rPr>
          <w:rFonts w:ascii="Arial" w:hAnsi="Arial" w:cs="Arial"/>
          <w:b/>
          <w:bCs/>
        </w:rPr>
      </w:pPr>
      <w:r w:rsidRPr="00E1115E">
        <w:rPr>
          <w:rFonts w:ascii="Arial" w:hAnsi="Arial" w:cs="Arial"/>
          <w:b/>
          <w:bCs/>
        </w:rPr>
        <w:t xml:space="preserve">Policy SDM2 – Development and Design Standards </w:t>
      </w:r>
    </w:p>
    <w:p w14:paraId="6125D2C7" w14:textId="77777777" w:rsidR="00487DF2" w:rsidRDefault="00487DF2" w:rsidP="00487DF2">
      <w:pPr>
        <w:pStyle w:val="ListParagraph"/>
        <w:spacing w:line="276" w:lineRule="auto"/>
        <w:rPr>
          <w:rFonts w:ascii="Arial" w:hAnsi="Arial" w:cs="Arial"/>
        </w:rPr>
      </w:pPr>
    </w:p>
    <w:p w14:paraId="7A74FFFF" w14:textId="77777777" w:rsidR="00C511F7" w:rsidRDefault="00C511F7" w:rsidP="00487DF2">
      <w:pPr>
        <w:pStyle w:val="ListParagraph"/>
        <w:spacing w:line="276" w:lineRule="auto"/>
        <w:rPr>
          <w:rFonts w:ascii="Arial" w:hAnsi="Arial" w:cs="Arial"/>
          <w:i/>
          <w:iCs/>
        </w:rPr>
      </w:pPr>
      <w:r w:rsidRPr="00C511F7">
        <w:rPr>
          <w:rFonts w:ascii="Arial" w:hAnsi="Arial" w:cs="Arial"/>
          <w:i/>
          <w:iCs/>
        </w:rPr>
        <w:t>The Policy is not considered to be sound as it is not justified or effective or in line with national policy.</w:t>
      </w:r>
    </w:p>
    <w:p w14:paraId="5B869A79" w14:textId="77777777" w:rsidR="00C511F7" w:rsidRPr="00C511F7" w:rsidRDefault="00C511F7" w:rsidP="00487DF2">
      <w:pPr>
        <w:pStyle w:val="ListParagraph"/>
        <w:spacing w:line="276" w:lineRule="auto"/>
        <w:rPr>
          <w:rFonts w:ascii="Arial" w:hAnsi="Arial" w:cs="Arial"/>
          <w:i/>
          <w:iCs/>
          <w:u w:val="single"/>
        </w:rPr>
      </w:pPr>
    </w:p>
    <w:p w14:paraId="03141156" w14:textId="758DC9E0" w:rsidR="00487DF2" w:rsidRPr="00C511F7" w:rsidRDefault="00487DF2" w:rsidP="00487DF2">
      <w:pPr>
        <w:pStyle w:val="ListParagraph"/>
        <w:spacing w:line="276" w:lineRule="auto"/>
        <w:rPr>
          <w:rFonts w:ascii="Arial" w:hAnsi="Arial" w:cs="Arial"/>
          <w:i/>
          <w:iCs/>
          <w:u w:val="single"/>
        </w:rPr>
      </w:pPr>
      <w:r w:rsidRPr="00C511F7">
        <w:rPr>
          <w:rFonts w:ascii="Arial" w:hAnsi="Arial" w:cs="Arial"/>
          <w:i/>
          <w:iCs/>
          <w:u w:val="single"/>
        </w:rPr>
        <w:t>Nationally Described Space Standard</w:t>
      </w:r>
    </w:p>
    <w:p w14:paraId="33E9B914" w14:textId="77777777" w:rsidR="00487DF2" w:rsidRDefault="00487DF2" w:rsidP="00487DF2">
      <w:pPr>
        <w:pStyle w:val="ListParagraph"/>
        <w:spacing w:line="276" w:lineRule="auto"/>
        <w:rPr>
          <w:rFonts w:ascii="Arial" w:hAnsi="Arial" w:cs="Arial"/>
        </w:rPr>
      </w:pPr>
    </w:p>
    <w:p w14:paraId="286E0DE2" w14:textId="77777777" w:rsidR="00487DF2" w:rsidRDefault="00487DF2" w:rsidP="00487DF2">
      <w:pPr>
        <w:pStyle w:val="ListParagraph"/>
        <w:numPr>
          <w:ilvl w:val="0"/>
          <w:numId w:val="8"/>
        </w:numPr>
        <w:spacing w:line="276" w:lineRule="auto"/>
        <w:rPr>
          <w:rFonts w:ascii="Arial" w:hAnsi="Arial" w:cs="Arial"/>
        </w:rPr>
      </w:pPr>
      <w:r w:rsidRPr="00F116A0">
        <w:rPr>
          <w:rFonts w:ascii="Arial" w:hAnsi="Arial" w:cs="Arial"/>
        </w:rPr>
        <w:t>HBF does not support the introduction of the optional Nationally Described Space Standard</w:t>
      </w:r>
      <w:r>
        <w:rPr>
          <w:rFonts w:ascii="Arial" w:hAnsi="Arial" w:cs="Arial"/>
        </w:rPr>
        <w:t>s</w:t>
      </w:r>
      <w:r w:rsidRPr="00F116A0">
        <w:rPr>
          <w:rFonts w:ascii="Arial" w:hAnsi="Arial" w:cs="Arial"/>
        </w:rPr>
        <w:t xml:space="preserve"> though policies in individual Local Plans. If the </w:t>
      </w:r>
      <w:r>
        <w:rPr>
          <w:rFonts w:ascii="Arial" w:hAnsi="Arial" w:cs="Arial"/>
        </w:rPr>
        <w:t>C</w:t>
      </w:r>
      <w:r w:rsidRPr="00F116A0">
        <w:rPr>
          <w:rFonts w:ascii="Arial" w:hAnsi="Arial" w:cs="Arial"/>
        </w:rPr>
        <w:t>ouncil wanted to do this</w:t>
      </w:r>
      <w:r>
        <w:rPr>
          <w:rFonts w:ascii="Arial" w:hAnsi="Arial" w:cs="Arial"/>
        </w:rPr>
        <w:t>,</w:t>
      </w:r>
      <w:r w:rsidRPr="00F116A0">
        <w:rPr>
          <w:rFonts w:ascii="Arial" w:hAnsi="Arial" w:cs="Arial"/>
        </w:rPr>
        <w:t xml:space="preserve"> they </w:t>
      </w:r>
      <w:r>
        <w:rPr>
          <w:rFonts w:ascii="Arial" w:hAnsi="Arial" w:cs="Arial"/>
        </w:rPr>
        <w:t>will</w:t>
      </w:r>
      <w:r w:rsidRPr="00F116A0">
        <w:rPr>
          <w:rFonts w:ascii="Arial" w:hAnsi="Arial" w:cs="Arial"/>
        </w:rPr>
        <w:t xml:space="preserve"> need robust justifiable evidence to introduce the NDSS</w:t>
      </w:r>
      <w:r>
        <w:rPr>
          <w:rFonts w:ascii="Arial" w:hAnsi="Arial" w:cs="Arial"/>
        </w:rPr>
        <w:t xml:space="preserve">, as any </w:t>
      </w:r>
      <w:r w:rsidRPr="00F116A0">
        <w:rPr>
          <w:rFonts w:ascii="Arial" w:hAnsi="Arial" w:cs="Arial"/>
        </w:rPr>
        <w:t>policy which seeks to apply the optional nationally described space standards (NDSS) to all dwellings should only be done in accordance with the NPPF</w:t>
      </w:r>
      <w:r>
        <w:rPr>
          <w:rStyle w:val="FootnoteReference"/>
          <w:rFonts w:ascii="Arial" w:hAnsi="Arial" w:cs="Arial"/>
        </w:rPr>
        <w:footnoteReference w:id="2"/>
      </w:r>
      <w:r w:rsidRPr="00F116A0">
        <w:rPr>
          <w:rFonts w:ascii="Arial" w:hAnsi="Arial" w:cs="Arial"/>
        </w:rPr>
        <w:t xml:space="preserve">, which states that “policies may also make use of the NDSS where the need for an internal space standard can be justified”. </w:t>
      </w:r>
    </w:p>
    <w:p w14:paraId="21176AE0" w14:textId="77777777" w:rsidR="00487DF2" w:rsidRPr="00E00ADD" w:rsidRDefault="00487DF2" w:rsidP="00487DF2">
      <w:pPr>
        <w:pStyle w:val="ListParagraph"/>
        <w:rPr>
          <w:rFonts w:ascii="Arial" w:hAnsi="Arial" w:cs="Arial"/>
        </w:rPr>
      </w:pPr>
    </w:p>
    <w:p w14:paraId="1A6BC9B3" w14:textId="77777777" w:rsidR="00487DF2" w:rsidRDefault="00487DF2" w:rsidP="00487DF2">
      <w:pPr>
        <w:pStyle w:val="ListParagraph"/>
        <w:numPr>
          <w:ilvl w:val="0"/>
          <w:numId w:val="8"/>
        </w:numPr>
        <w:spacing w:line="276" w:lineRule="auto"/>
        <w:rPr>
          <w:rFonts w:ascii="Arial" w:hAnsi="Arial" w:cs="Arial"/>
        </w:rPr>
      </w:pPr>
      <w:r w:rsidRPr="00E00ADD">
        <w:rPr>
          <w:rFonts w:ascii="Arial" w:hAnsi="Arial" w:cs="Arial"/>
        </w:rPr>
        <w:t>The NPPF</w:t>
      </w:r>
      <w:r>
        <w:rPr>
          <w:rStyle w:val="FootnoteReference"/>
          <w:rFonts w:ascii="Arial" w:hAnsi="Arial" w:cs="Arial"/>
        </w:rPr>
        <w:footnoteReference w:id="3"/>
      </w:r>
      <w:r w:rsidRPr="00E00ADD">
        <w:rPr>
          <w:rFonts w:ascii="Arial" w:hAnsi="Arial" w:cs="Arial"/>
        </w:rPr>
        <w:t xml:space="preserve"> requires that all policies should be underpinned by relevant and up to date evidence, which should be adequate, </w:t>
      </w:r>
      <w:proofErr w:type="gramStart"/>
      <w:r w:rsidRPr="00E00ADD">
        <w:rPr>
          <w:rFonts w:ascii="Arial" w:hAnsi="Arial" w:cs="Arial"/>
        </w:rPr>
        <w:t>proportionate</w:t>
      </w:r>
      <w:proofErr w:type="gramEnd"/>
      <w:r w:rsidRPr="00E00ADD">
        <w:rPr>
          <w:rFonts w:ascii="Arial" w:hAnsi="Arial" w:cs="Arial"/>
        </w:rPr>
        <w:t xml:space="preserve"> and focussed tightly on supporting and justifying the policies concerned.  The PPG</w:t>
      </w:r>
      <w:r>
        <w:rPr>
          <w:rStyle w:val="FootnoteReference"/>
          <w:rFonts w:ascii="Arial" w:hAnsi="Arial" w:cs="Arial"/>
        </w:rPr>
        <w:footnoteReference w:id="4"/>
      </w:r>
      <w:r w:rsidRPr="00E00ADD">
        <w:rPr>
          <w:rFonts w:ascii="Arial" w:hAnsi="Arial" w:cs="Arial"/>
        </w:rPr>
        <w:t xml:space="preserve"> identifies the type of evidence required to introduce such a policy. It states that ‘where a need for internal space standards is identified, local planning authorities should provide justification for requiring internal space policies. Local planning authorities should take account of the following areas:</w:t>
      </w:r>
    </w:p>
    <w:p w14:paraId="3425A5F4" w14:textId="77777777" w:rsidR="00487DF2" w:rsidRPr="00C544AC" w:rsidRDefault="00487DF2" w:rsidP="00487DF2">
      <w:pPr>
        <w:pStyle w:val="ListParagraph"/>
        <w:rPr>
          <w:rFonts w:ascii="Arial" w:hAnsi="Arial" w:cs="Arial"/>
        </w:rPr>
      </w:pPr>
    </w:p>
    <w:p w14:paraId="235C57E3" w14:textId="77777777" w:rsidR="00487DF2" w:rsidRPr="00317A00" w:rsidRDefault="00487DF2" w:rsidP="00487DF2">
      <w:pPr>
        <w:pStyle w:val="ListParagraph"/>
        <w:numPr>
          <w:ilvl w:val="0"/>
          <w:numId w:val="37"/>
        </w:numPr>
        <w:spacing w:line="276" w:lineRule="auto"/>
        <w:rPr>
          <w:rFonts w:ascii="Arial" w:hAnsi="Arial" w:cs="Arial"/>
        </w:rPr>
      </w:pPr>
      <w:r w:rsidRPr="00317A00">
        <w:rPr>
          <w:rFonts w:ascii="Arial" w:hAnsi="Arial" w:cs="Arial"/>
        </w:rPr>
        <w:t xml:space="preserve">Need – evidence should be provided on the size and type of dwellings currently being built in the area, to ensure the impacts of adopting </w:t>
      </w:r>
      <w:r w:rsidRPr="00317A00">
        <w:rPr>
          <w:rFonts w:ascii="Arial" w:hAnsi="Arial" w:cs="Arial"/>
        </w:rPr>
        <w:lastRenderedPageBreak/>
        <w:t>space standards can be properly assessed, for example, to consider any potential impact on meeting demand for starter homes.</w:t>
      </w:r>
    </w:p>
    <w:p w14:paraId="28A45591" w14:textId="77777777" w:rsidR="00487DF2" w:rsidRPr="00317A00" w:rsidRDefault="00487DF2" w:rsidP="00487DF2">
      <w:pPr>
        <w:pStyle w:val="ListParagraph"/>
        <w:numPr>
          <w:ilvl w:val="0"/>
          <w:numId w:val="37"/>
        </w:numPr>
        <w:spacing w:line="276" w:lineRule="auto"/>
        <w:rPr>
          <w:rFonts w:ascii="Arial" w:hAnsi="Arial" w:cs="Arial"/>
        </w:rPr>
      </w:pPr>
      <w:r w:rsidRPr="00317A00">
        <w:rPr>
          <w:rFonts w:ascii="Arial" w:hAnsi="Arial" w:cs="Arial"/>
        </w:rPr>
        <w:t>Viability – the impact of adopting the space standard should be considered as part of a plan’s viability assessment with account taken of the impact of potentially larger dwellings on land supply. Local planning authorities will also need to consider impacts on affordability where a space standard is to be adopted.</w:t>
      </w:r>
    </w:p>
    <w:p w14:paraId="437354B2" w14:textId="77777777" w:rsidR="00487DF2" w:rsidRPr="00317A00" w:rsidRDefault="00487DF2" w:rsidP="00487DF2">
      <w:pPr>
        <w:pStyle w:val="ListParagraph"/>
        <w:numPr>
          <w:ilvl w:val="0"/>
          <w:numId w:val="37"/>
        </w:numPr>
        <w:spacing w:line="276" w:lineRule="auto"/>
        <w:rPr>
          <w:rFonts w:ascii="Arial" w:hAnsi="Arial" w:cs="Arial"/>
        </w:rPr>
      </w:pPr>
      <w:r w:rsidRPr="00317A00">
        <w:rPr>
          <w:rFonts w:ascii="Arial" w:hAnsi="Arial" w:cs="Arial"/>
        </w:rPr>
        <w:t xml:space="preserve">Timing – there may need to be a reasonable transitional period following adoption of a new policy on space standards to enable developers to factor the cost of space standards into future land </w:t>
      </w:r>
      <w:proofErr w:type="gramStart"/>
      <w:r w:rsidRPr="00317A00">
        <w:rPr>
          <w:rFonts w:ascii="Arial" w:hAnsi="Arial" w:cs="Arial"/>
        </w:rPr>
        <w:t>acquisitions’</w:t>
      </w:r>
      <w:proofErr w:type="gramEnd"/>
      <w:r w:rsidRPr="00317A00">
        <w:rPr>
          <w:rFonts w:ascii="Arial" w:hAnsi="Arial" w:cs="Arial"/>
        </w:rPr>
        <w:t>.</w:t>
      </w:r>
    </w:p>
    <w:p w14:paraId="3A851345" w14:textId="77777777" w:rsidR="00487DF2" w:rsidRPr="00317A00" w:rsidRDefault="00487DF2" w:rsidP="00487DF2">
      <w:pPr>
        <w:pStyle w:val="ListParagraph"/>
        <w:spacing w:line="276" w:lineRule="auto"/>
        <w:rPr>
          <w:rFonts w:ascii="Arial" w:hAnsi="Arial" w:cs="Arial"/>
        </w:rPr>
      </w:pPr>
    </w:p>
    <w:p w14:paraId="1E411968" w14:textId="77777777" w:rsidR="00487DF2" w:rsidRPr="00317A00" w:rsidRDefault="00487DF2" w:rsidP="00487DF2">
      <w:pPr>
        <w:pStyle w:val="ListParagraph"/>
        <w:numPr>
          <w:ilvl w:val="0"/>
          <w:numId w:val="8"/>
        </w:numPr>
        <w:spacing w:line="276" w:lineRule="auto"/>
        <w:rPr>
          <w:rFonts w:ascii="Arial" w:hAnsi="Arial" w:cs="Arial"/>
        </w:rPr>
      </w:pPr>
      <w:r w:rsidRPr="00317A00">
        <w:rPr>
          <w:rFonts w:ascii="Arial" w:hAnsi="Arial" w:cs="Arial"/>
        </w:rPr>
        <w:t xml:space="preserve">HBF also remind the Council that there is a direct relationship between unit size, cost per square metre (sqm), selling price per sqm and affordability. The Council’s policy approach should recognise that customers have different budgets and aspirations. An inflexible policy approach to NDSS for all new dwellings will impact on affordability and effect customer choice. Well-designed dwellings below NDSS can provided a good, functional home. Smaller dwellings play a valuable role in meeting specific needs for both open market and affordable home ownership housing. </w:t>
      </w:r>
    </w:p>
    <w:p w14:paraId="42786E5E" w14:textId="77777777" w:rsidR="00487DF2" w:rsidRPr="00317A00" w:rsidRDefault="00487DF2" w:rsidP="00487DF2">
      <w:pPr>
        <w:pStyle w:val="ListParagraph"/>
        <w:spacing w:line="276" w:lineRule="auto"/>
        <w:rPr>
          <w:rFonts w:ascii="Arial" w:hAnsi="Arial" w:cs="Arial"/>
        </w:rPr>
      </w:pPr>
    </w:p>
    <w:p w14:paraId="212EDFD8" w14:textId="77777777" w:rsidR="00487DF2" w:rsidRDefault="00487DF2" w:rsidP="00487DF2">
      <w:pPr>
        <w:pStyle w:val="ListParagraph"/>
        <w:numPr>
          <w:ilvl w:val="0"/>
          <w:numId w:val="8"/>
        </w:numPr>
        <w:spacing w:line="276" w:lineRule="auto"/>
        <w:rPr>
          <w:rFonts w:ascii="Arial" w:hAnsi="Arial" w:cs="Arial"/>
        </w:rPr>
      </w:pPr>
      <w:r w:rsidRPr="00317A00">
        <w:rPr>
          <w:rFonts w:ascii="Arial" w:hAnsi="Arial" w:cs="Arial"/>
        </w:rPr>
        <w:t>An inflexible policy approach imposing NDSS on all housing removes the most affordable homes and denies lower income households from being able to afford homeownership. The introduction of the NDSS for all dwellings may mean customers purchasing larger homes in floorspace but with bedrooms less suited to their housing needs with the unintended consequences of potentially increasing overcrowding and reducing the quality of their living environment. The Council should focus on good design and usable space to ensure that dwellings are fit for purpose rather than focusing on NDSS.</w:t>
      </w:r>
    </w:p>
    <w:p w14:paraId="1E4E3730" w14:textId="77777777" w:rsidR="00487DF2" w:rsidRPr="00855EBE" w:rsidRDefault="00487DF2" w:rsidP="00487DF2">
      <w:pPr>
        <w:pStyle w:val="ListParagraph"/>
        <w:rPr>
          <w:rFonts w:ascii="Arial" w:hAnsi="Arial" w:cs="Arial"/>
        </w:rPr>
      </w:pPr>
    </w:p>
    <w:p w14:paraId="39A7FE7C" w14:textId="77777777" w:rsidR="00487DF2" w:rsidRPr="00855EBE" w:rsidRDefault="00487DF2" w:rsidP="00487DF2">
      <w:pPr>
        <w:pStyle w:val="ListParagraph"/>
        <w:numPr>
          <w:ilvl w:val="0"/>
          <w:numId w:val="8"/>
        </w:numPr>
        <w:rPr>
          <w:rFonts w:ascii="Arial" w:hAnsi="Arial" w:cs="Arial"/>
        </w:rPr>
      </w:pPr>
      <w:r w:rsidRPr="00855EBE">
        <w:rPr>
          <w:rFonts w:ascii="Arial" w:hAnsi="Arial" w:cs="Arial"/>
        </w:rPr>
        <w:t xml:space="preserve">HBF considers that if the Government had expected all properties to be built to NDSS that they would have made these standards mandatory not optional. </w:t>
      </w:r>
    </w:p>
    <w:p w14:paraId="7CDAB0E9" w14:textId="77777777" w:rsidR="00487DF2" w:rsidRPr="00317A00" w:rsidRDefault="00487DF2" w:rsidP="00487DF2">
      <w:pPr>
        <w:pStyle w:val="ListParagraph"/>
        <w:spacing w:line="276" w:lineRule="auto"/>
        <w:rPr>
          <w:rFonts w:ascii="Arial" w:hAnsi="Arial" w:cs="Arial"/>
        </w:rPr>
      </w:pPr>
    </w:p>
    <w:p w14:paraId="6CC1E0FD" w14:textId="77777777" w:rsidR="00487DF2" w:rsidRDefault="00487DF2" w:rsidP="00487DF2">
      <w:pPr>
        <w:pStyle w:val="ListParagraph"/>
        <w:numPr>
          <w:ilvl w:val="0"/>
          <w:numId w:val="8"/>
        </w:numPr>
        <w:rPr>
          <w:rFonts w:ascii="Arial" w:hAnsi="Arial" w:cs="Arial"/>
        </w:rPr>
      </w:pPr>
      <w:r w:rsidRPr="005F6D81">
        <w:rPr>
          <w:rFonts w:ascii="Arial" w:hAnsi="Arial" w:cs="Arial"/>
        </w:rPr>
        <w:t xml:space="preserve">If the proposed requirement for NDSS is carried forward, then the Council should put forward proposals for transitional arrangements. The land deals underpinning residential sites may have been secured prior to any proposed introduction of the NDSS. These sites should be allowed to move through the planning system before any proposed policy requirements are enforced. The NDSS should not be applied to any reserved matters applications or any outline or detailed approval prior to a specified date. </w:t>
      </w:r>
    </w:p>
    <w:p w14:paraId="64E13DF9" w14:textId="77777777" w:rsidR="00487DF2" w:rsidRPr="005F6D81" w:rsidRDefault="00487DF2" w:rsidP="00487DF2">
      <w:pPr>
        <w:pStyle w:val="ListParagraph"/>
        <w:rPr>
          <w:rFonts w:ascii="Arial" w:hAnsi="Arial" w:cs="Arial"/>
        </w:rPr>
      </w:pPr>
    </w:p>
    <w:p w14:paraId="3013613C" w14:textId="77777777" w:rsidR="00487DF2" w:rsidRPr="005F6D81" w:rsidRDefault="00487DF2" w:rsidP="00487DF2">
      <w:pPr>
        <w:pStyle w:val="ListParagraph"/>
        <w:numPr>
          <w:ilvl w:val="0"/>
          <w:numId w:val="8"/>
        </w:numPr>
        <w:rPr>
          <w:rFonts w:ascii="Arial" w:hAnsi="Arial" w:cs="Arial"/>
        </w:rPr>
      </w:pPr>
      <w:r w:rsidRPr="005F6D81">
        <w:rPr>
          <w:rFonts w:ascii="Arial" w:hAnsi="Arial" w:cs="Arial"/>
        </w:rPr>
        <w:t xml:space="preserve">The policy </w:t>
      </w:r>
      <w:r>
        <w:rPr>
          <w:rFonts w:ascii="Arial" w:hAnsi="Arial" w:cs="Arial"/>
        </w:rPr>
        <w:t xml:space="preserve">should </w:t>
      </w:r>
      <w:r w:rsidRPr="005F6D81">
        <w:rPr>
          <w:rFonts w:ascii="Arial" w:hAnsi="Arial" w:cs="Arial"/>
        </w:rPr>
        <w:t>be deleted.</w:t>
      </w:r>
    </w:p>
    <w:p w14:paraId="72860439" w14:textId="77777777" w:rsidR="00487DF2" w:rsidRDefault="00487DF2" w:rsidP="00487DF2">
      <w:pPr>
        <w:pStyle w:val="ListParagraph"/>
        <w:spacing w:line="276" w:lineRule="auto"/>
        <w:jc w:val="both"/>
        <w:rPr>
          <w:rFonts w:ascii="Arial" w:hAnsi="Arial" w:cs="Arial"/>
        </w:rPr>
      </w:pPr>
    </w:p>
    <w:p w14:paraId="1A5CFF36" w14:textId="77777777" w:rsidR="00487DF2" w:rsidRPr="00C511F7" w:rsidRDefault="00487DF2" w:rsidP="00487DF2">
      <w:pPr>
        <w:pStyle w:val="ListParagraph"/>
        <w:spacing w:line="276" w:lineRule="auto"/>
        <w:jc w:val="both"/>
        <w:rPr>
          <w:rFonts w:ascii="Arial" w:hAnsi="Arial" w:cs="Arial"/>
          <w:i/>
          <w:iCs/>
          <w:u w:val="single"/>
        </w:rPr>
      </w:pPr>
      <w:r w:rsidRPr="00C511F7">
        <w:rPr>
          <w:rFonts w:ascii="Arial" w:hAnsi="Arial" w:cs="Arial"/>
          <w:i/>
          <w:iCs/>
          <w:u w:val="single"/>
        </w:rPr>
        <w:t>Water efficiency in new dwellings</w:t>
      </w:r>
    </w:p>
    <w:p w14:paraId="7CB781DF" w14:textId="77777777" w:rsidR="00487DF2" w:rsidRDefault="00487DF2" w:rsidP="00487DF2">
      <w:pPr>
        <w:pStyle w:val="ListParagraph"/>
        <w:spacing w:line="276" w:lineRule="auto"/>
        <w:jc w:val="both"/>
        <w:rPr>
          <w:rFonts w:ascii="Arial" w:hAnsi="Arial" w:cs="Arial"/>
        </w:rPr>
      </w:pPr>
    </w:p>
    <w:p w14:paraId="26FE3E40" w14:textId="77777777" w:rsidR="00487DF2" w:rsidRDefault="00487DF2" w:rsidP="00487DF2">
      <w:pPr>
        <w:pStyle w:val="ListParagraph"/>
        <w:numPr>
          <w:ilvl w:val="0"/>
          <w:numId w:val="8"/>
        </w:numPr>
        <w:rPr>
          <w:rFonts w:ascii="Arial" w:hAnsi="Arial" w:cs="Arial"/>
        </w:rPr>
      </w:pPr>
      <w:r w:rsidRPr="005F6D81">
        <w:rPr>
          <w:rFonts w:ascii="Arial" w:hAnsi="Arial" w:cs="Arial"/>
        </w:rPr>
        <w:lastRenderedPageBreak/>
        <w:t xml:space="preserve">This policy also seeks to introduce a water efficiency standard of 110 litres/person/day.  HBF note that Part G Building regulations already stipulates 125lpppd normal conditions and 110lpppd in water stressed areas. Therefore, HBF question whether there is a need for this to be referred to within the Local Plan as it is already required by other regulatory frameworks.  </w:t>
      </w:r>
    </w:p>
    <w:p w14:paraId="02A6E902" w14:textId="77777777" w:rsidR="00487DF2" w:rsidRDefault="00487DF2" w:rsidP="00487DF2">
      <w:pPr>
        <w:pStyle w:val="ListParagraph"/>
        <w:rPr>
          <w:rFonts w:ascii="Arial" w:hAnsi="Arial" w:cs="Arial"/>
        </w:rPr>
      </w:pPr>
    </w:p>
    <w:p w14:paraId="58459757" w14:textId="77777777" w:rsidR="00487DF2" w:rsidRPr="005F6D81" w:rsidRDefault="00487DF2" w:rsidP="00487DF2">
      <w:pPr>
        <w:pStyle w:val="ListParagraph"/>
        <w:numPr>
          <w:ilvl w:val="0"/>
          <w:numId w:val="8"/>
        </w:numPr>
        <w:rPr>
          <w:rFonts w:ascii="Arial" w:hAnsi="Arial" w:cs="Arial"/>
        </w:rPr>
      </w:pPr>
      <w:r w:rsidRPr="005F6D81">
        <w:rPr>
          <w:rFonts w:ascii="Arial" w:hAnsi="Arial" w:cs="Arial"/>
        </w:rPr>
        <w:t>The policy should be deleted.</w:t>
      </w:r>
    </w:p>
    <w:p w14:paraId="00CBC57F" w14:textId="77777777" w:rsidR="00487DF2" w:rsidRDefault="00487DF2" w:rsidP="00487DF2">
      <w:pPr>
        <w:pStyle w:val="ListParagraph"/>
        <w:spacing w:line="276" w:lineRule="auto"/>
        <w:jc w:val="both"/>
        <w:rPr>
          <w:rFonts w:ascii="Arial" w:hAnsi="Arial" w:cs="Arial"/>
        </w:rPr>
      </w:pPr>
    </w:p>
    <w:p w14:paraId="632EA2DB" w14:textId="77777777" w:rsidR="00AC7602" w:rsidRPr="00A01B18" w:rsidRDefault="00AC7602" w:rsidP="00AC7602">
      <w:pPr>
        <w:pStyle w:val="ListParagraph"/>
        <w:spacing w:line="276" w:lineRule="auto"/>
        <w:jc w:val="both"/>
        <w:rPr>
          <w:rFonts w:ascii="Arial" w:hAnsi="Arial" w:cs="Arial"/>
          <w:b/>
          <w:bCs/>
        </w:rPr>
      </w:pPr>
      <w:r w:rsidRPr="00A01B18">
        <w:rPr>
          <w:rFonts w:ascii="Arial" w:hAnsi="Arial" w:cs="Arial"/>
          <w:b/>
          <w:bCs/>
        </w:rPr>
        <w:t>Delivery, Monitoring, and Implementation</w:t>
      </w:r>
    </w:p>
    <w:p w14:paraId="0F2A9EBA" w14:textId="77777777" w:rsidR="00AC7602" w:rsidRPr="00E435A7" w:rsidRDefault="00AC7602" w:rsidP="00AC7602">
      <w:pPr>
        <w:pStyle w:val="ListParagraph"/>
        <w:spacing w:line="276" w:lineRule="auto"/>
        <w:jc w:val="both"/>
        <w:rPr>
          <w:rFonts w:ascii="Arial" w:hAnsi="Arial" w:cs="Arial"/>
          <w:b/>
          <w:bCs/>
        </w:rPr>
      </w:pPr>
    </w:p>
    <w:p w14:paraId="71180003" w14:textId="77777777" w:rsidR="00AC7602" w:rsidRPr="00222CE7" w:rsidRDefault="00AC7602" w:rsidP="00AC7602">
      <w:pPr>
        <w:pStyle w:val="ListParagraph"/>
        <w:numPr>
          <w:ilvl w:val="0"/>
          <w:numId w:val="8"/>
        </w:numPr>
        <w:spacing w:line="276" w:lineRule="auto"/>
        <w:jc w:val="both"/>
        <w:rPr>
          <w:rFonts w:ascii="Arial" w:hAnsi="Arial" w:cs="Arial"/>
        </w:rPr>
      </w:pPr>
      <w:r w:rsidRPr="00222CE7">
        <w:rPr>
          <w:rFonts w:ascii="Arial" w:hAnsi="Arial" w:cs="Arial"/>
        </w:rPr>
        <w:t xml:space="preserve">HBF notes that we are </w:t>
      </w:r>
      <w:proofErr w:type="gramStart"/>
      <w:r w:rsidRPr="00222CE7">
        <w:rPr>
          <w:rFonts w:ascii="Arial" w:hAnsi="Arial" w:cs="Arial"/>
        </w:rPr>
        <w:t>in the midst of</w:t>
      </w:r>
      <w:proofErr w:type="gramEnd"/>
      <w:r w:rsidRPr="00222CE7">
        <w:rPr>
          <w:rFonts w:ascii="Arial" w:hAnsi="Arial" w:cs="Arial"/>
        </w:rPr>
        <w:t xml:space="preserve"> a Housing Crisis.  Housing delivery is therefore a key challenge facing Sandwell Borough. To address the housing crisis the Council needs to allocate enough sites to meet the housing requirement and provide choice and flexibility in supply.  This will require the allocation of a mix and range of sites in a variety of locations.   The policies in the Plan with then near careful monitoring to ensure they are delivering the housing.  The Sandwell Local Plan </w:t>
      </w:r>
      <w:r>
        <w:rPr>
          <w:rFonts w:ascii="Arial" w:hAnsi="Arial" w:cs="Arial"/>
        </w:rPr>
        <w:t>must ensure the delivery of new housing t</w:t>
      </w:r>
      <w:r w:rsidRPr="00222CE7">
        <w:rPr>
          <w:rFonts w:ascii="Arial" w:hAnsi="Arial" w:cs="Arial"/>
        </w:rPr>
        <w:t>o meet both open market and affordable housing needs.</w:t>
      </w:r>
    </w:p>
    <w:p w14:paraId="40C56701" w14:textId="77777777" w:rsidR="00AC7602" w:rsidRPr="005F6D81" w:rsidRDefault="00AC7602" w:rsidP="00AC7602">
      <w:pPr>
        <w:pStyle w:val="ListParagraph"/>
        <w:spacing w:line="276" w:lineRule="auto"/>
        <w:jc w:val="both"/>
        <w:rPr>
          <w:rFonts w:ascii="Arial" w:hAnsi="Arial" w:cs="Arial"/>
        </w:rPr>
      </w:pPr>
    </w:p>
    <w:p w14:paraId="384F1CDA" w14:textId="77777777" w:rsidR="00AC7602" w:rsidRPr="005F6D81" w:rsidRDefault="00AC7602" w:rsidP="00AC7602">
      <w:pPr>
        <w:pStyle w:val="ListParagraph"/>
        <w:numPr>
          <w:ilvl w:val="0"/>
          <w:numId w:val="8"/>
        </w:numPr>
        <w:spacing w:line="276" w:lineRule="auto"/>
        <w:jc w:val="both"/>
        <w:rPr>
          <w:rFonts w:ascii="Arial" w:hAnsi="Arial" w:cs="Arial"/>
        </w:rPr>
      </w:pPr>
      <w:r w:rsidRPr="005F6D81">
        <w:rPr>
          <w:rFonts w:ascii="Arial" w:hAnsi="Arial" w:cs="Arial"/>
        </w:rPr>
        <w:t xml:space="preserve">The issue of housing is critically important and needs urgently addressing through the plan-making process.  HBF believes that the Council needs to explore </w:t>
      </w:r>
      <w:proofErr w:type="gramStart"/>
      <w:r w:rsidRPr="005F6D81">
        <w:rPr>
          <w:rFonts w:ascii="Arial" w:hAnsi="Arial" w:cs="Arial"/>
        </w:rPr>
        <w:t>any and all</w:t>
      </w:r>
      <w:proofErr w:type="gramEnd"/>
      <w:r w:rsidRPr="005F6D81">
        <w:rPr>
          <w:rFonts w:ascii="Arial" w:hAnsi="Arial" w:cs="Arial"/>
        </w:rPr>
        <w:t xml:space="preserve"> options to meet the housing need and requirement of Sandwell.  This must include full consideration of the current Housing Crisis and if it results in the ‘exceptional circumstances’ that would require the need for a Green Belt review.  A plan that seeks to meet only third of the need does not deliver is simply not good enough and does represent an effective use of the plan-led system.</w:t>
      </w:r>
    </w:p>
    <w:p w14:paraId="4E12B35B" w14:textId="77777777" w:rsidR="00AC7602" w:rsidRPr="005F6D81" w:rsidRDefault="00AC7602" w:rsidP="00AC7602">
      <w:pPr>
        <w:pStyle w:val="ListParagraph"/>
        <w:spacing w:line="276" w:lineRule="auto"/>
        <w:jc w:val="both"/>
        <w:rPr>
          <w:rFonts w:ascii="Arial" w:hAnsi="Arial" w:cs="Arial"/>
        </w:rPr>
      </w:pPr>
    </w:p>
    <w:p w14:paraId="3E7793EF" w14:textId="77777777" w:rsidR="00AC7602" w:rsidRDefault="00AC7602" w:rsidP="00AC7602">
      <w:pPr>
        <w:pStyle w:val="ListParagraph"/>
        <w:numPr>
          <w:ilvl w:val="0"/>
          <w:numId w:val="8"/>
        </w:numPr>
        <w:spacing w:line="276" w:lineRule="auto"/>
        <w:jc w:val="both"/>
        <w:rPr>
          <w:rFonts w:ascii="Arial" w:hAnsi="Arial" w:cs="Arial"/>
        </w:rPr>
      </w:pPr>
      <w:r w:rsidRPr="00506C9F">
        <w:rPr>
          <w:rFonts w:ascii="Arial" w:hAnsi="Arial" w:cs="Arial"/>
        </w:rPr>
        <w:t xml:space="preserve">HBF suggest more flexibility is needed within the plan, so that it </w:t>
      </w:r>
      <w:proofErr w:type="gramStart"/>
      <w:r w:rsidRPr="00506C9F">
        <w:rPr>
          <w:rFonts w:ascii="Arial" w:hAnsi="Arial" w:cs="Arial"/>
        </w:rPr>
        <w:t>is able to</w:t>
      </w:r>
      <w:proofErr w:type="gramEnd"/>
      <w:r w:rsidRPr="00506C9F">
        <w:rPr>
          <w:rFonts w:ascii="Arial" w:hAnsi="Arial" w:cs="Arial"/>
        </w:rPr>
        <w:t xml:space="preserve"> respond to any changing circumstances.  HBF do not support the inclusion of policies within a Local Plan that merely triggers a review of the Local Plan if monitoring shows housing delivery is not occurring as expected.  Such a policy does nothing to address the housing crisis or undersupply of homes.  There are other more effective and immediate measures that could be introduced into policy that would enable the Council to address housing under deliver, much more quickly than would be possible through the production of another plan, or plan review.   </w:t>
      </w:r>
    </w:p>
    <w:p w14:paraId="0C73048E" w14:textId="77777777" w:rsidR="00AC7602" w:rsidRPr="00506C9F" w:rsidRDefault="00AC7602" w:rsidP="00AC7602">
      <w:pPr>
        <w:pStyle w:val="ListParagraph"/>
        <w:spacing w:line="276" w:lineRule="auto"/>
        <w:jc w:val="both"/>
        <w:rPr>
          <w:rFonts w:ascii="Arial" w:hAnsi="Arial" w:cs="Arial"/>
        </w:rPr>
      </w:pPr>
    </w:p>
    <w:p w14:paraId="33826F10" w14:textId="77777777" w:rsidR="00AC7602" w:rsidRDefault="00AC7602" w:rsidP="00AC7602">
      <w:pPr>
        <w:pStyle w:val="ListParagraph"/>
        <w:numPr>
          <w:ilvl w:val="0"/>
          <w:numId w:val="8"/>
        </w:numPr>
        <w:spacing w:line="276" w:lineRule="auto"/>
        <w:jc w:val="both"/>
        <w:rPr>
          <w:rFonts w:ascii="Arial" w:hAnsi="Arial" w:cs="Arial"/>
        </w:rPr>
      </w:pPr>
      <w:r w:rsidRPr="00506C9F">
        <w:rPr>
          <w:rFonts w:ascii="Arial" w:hAnsi="Arial" w:cs="Arial"/>
        </w:rPr>
        <w:t xml:space="preserve">It is important that houses are brought forward, and the matter addressed as soon as possible, if under delivery is observed.  HBF would suggest, as a minimum, explicit reference should be made </w:t>
      </w:r>
      <w:r>
        <w:rPr>
          <w:rFonts w:ascii="Arial" w:hAnsi="Arial" w:cs="Arial"/>
        </w:rPr>
        <w:t xml:space="preserve">within the Plan’s </w:t>
      </w:r>
      <w:r w:rsidRPr="00506C9F">
        <w:rPr>
          <w:rFonts w:ascii="Arial" w:hAnsi="Arial" w:cs="Arial"/>
        </w:rPr>
        <w:t xml:space="preserve">policy to the potential to bring forward supply earlier.  However, as the housing need and requirement figures for the Plan are minimum (not maximum) figures the Council could also specifically identify reserve sites, particular sites that could/would be brought forward sooner to address any under delivery whatever the reason for that under performance.  This could be a shortfall in market housing permissions granted and/or completions, affordable housing </w:t>
      </w:r>
      <w:r w:rsidRPr="00506C9F">
        <w:rPr>
          <w:rFonts w:ascii="Arial" w:hAnsi="Arial" w:cs="Arial"/>
        </w:rPr>
        <w:lastRenderedPageBreak/>
        <w:t>permissions granted and/or completions and any failure against the Housing Delivery Test or local plan monitoring.</w:t>
      </w:r>
      <w:r>
        <w:rPr>
          <w:rFonts w:ascii="Arial" w:hAnsi="Arial" w:cs="Arial"/>
        </w:rPr>
        <w:t xml:space="preserve">  More is needed on how and when monitoring will be </w:t>
      </w:r>
      <w:proofErr w:type="gramStart"/>
      <w:r>
        <w:rPr>
          <w:rFonts w:ascii="Arial" w:hAnsi="Arial" w:cs="Arial"/>
        </w:rPr>
        <w:t>undertaken</w:t>
      </w:r>
      <w:proofErr w:type="gramEnd"/>
      <w:r>
        <w:rPr>
          <w:rFonts w:ascii="Arial" w:hAnsi="Arial" w:cs="Arial"/>
        </w:rPr>
        <w:t xml:space="preserve"> and more is needed on what action(S) will be taken when if monitoring shows under delivery of housing.</w:t>
      </w:r>
    </w:p>
    <w:p w14:paraId="2DEB8A7C" w14:textId="77777777" w:rsidR="00AC7602" w:rsidRDefault="00AC7602" w:rsidP="00AC7602">
      <w:pPr>
        <w:pStyle w:val="ListParagraph"/>
        <w:spacing w:line="276" w:lineRule="auto"/>
        <w:jc w:val="both"/>
        <w:rPr>
          <w:rFonts w:ascii="Arial" w:hAnsi="Arial" w:cs="Arial"/>
        </w:rPr>
      </w:pPr>
    </w:p>
    <w:p w14:paraId="12806AC3" w14:textId="6029E656" w:rsidR="00AC7602" w:rsidRPr="001F3FFF" w:rsidRDefault="00AC7602" w:rsidP="00566211">
      <w:pPr>
        <w:pStyle w:val="ListParagraph"/>
        <w:numPr>
          <w:ilvl w:val="0"/>
          <w:numId w:val="8"/>
        </w:numPr>
        <w:spacing w:line="276" w:lineRule="auto"/>
        <w:jc w:val="both"/>
        <w:rPr>
          <w:rFonts w:ascii="Arial" w:hAnsi="Arial" w:cs="Arial"/>
        </w:rPr>
      </w:pPr>
      <w:r w:rsidRPr="001F3FFF">
        <w:rPr>
          <w:rFonts w:ascii="Arial" w:hAnsi="Arial" w:cs="Arial"/>
        </w:rPr>
        <w:t xml:space="preserve">There remains a need to address issues that are wider-than-local matters in a joined-up manner under the Duty to Cooperate.  </w:t>
      </w:r>
      <w:r>
        <w:t xml:space="preserve">HBF suggest that </w:t>
      </w:r>
      <w:r w:rsidR="001F3FFF">
        <w:t xml:space="preserve">this means </w:t>
      </w:r>
      <w:r>
        <w:t xml:space="preserve">there is a need for housing monitoring to be undertaken across the wider region.  If other areas are providing housing to meet Sandwell’s need, Sandwell will need to be monitoring this delivery to ensure its needs are being met.   However, HBF firmly believe Sandwell should be doing more to address its own needs, including Green Belt release. </w:t>
      </w:r>
    </w:p>
    <w:p w14:paraId="638C86D1" w14:textId="77777777" w:rsidR="00AC7602" w:rsidRPr="008644A7" w:rsidRDefault="00AC7602" w:rsidP="00AC7602">
      <w:pPr>
        <w:pStyle w:val="ListParagraph"/>
        <w:rPr>
          <w:rFonts w:ascii="Arial" w:hAnsi="Arial" w:cs="Arial"/>
        </w:rPr>
      </w:pPr>
    </w:p>
    <w:p w14:paraId="211CE0CF" w14:textId="77777777" w:rsidR="00AC7602" w:rsidRPr="008644A7" w:rsidRDefault="00AC7602" w:rsidP="00AC7602">
      <w:pPr>
        <w:pStyle w:val="ListParagraph"/>
        <w:numPr>
          <w:ilvl w:val="0"/>
          <w:numId w:val="8"/>
        </w:numPr>
        <w:spacing w:line="276" w:lineRule="auto"/>
        <w:jc w:val="both"/>
        <w:rPr>
          <w:rFonts w:ascii="Arial" w:hAnsi="Arial" w:cs="Arial"/>
        </w:rPr>
      </w:pPr>
      <w:r>
        <w:rPr>
          <w:rFonts w:ascii="Arial" w:hAnsi="Arial" w:cs="Arial"/>
        </w:rPr>
        <w:t xml:space="preserve">The HBF would encourage the Council to fully consider the housing needs of the Borough and robustly consider the need for additional housing in the housing requirement before then considering how much of the housing requirement can be met within the Borough, and how much may be unmet.  It is important for the housing requirement to reflect the housing needs and growth aspirations of the Borough and not be restricted by capacity considerations, which should be considered after the housing requirement has been set. </w:t>
      </w:r>
    </w:p>
    <w:p w14:paraId="6BE939B7" w14:textId="77777777" w:rsidR="00AC7602" w:rsidRPr="005858B4" w:rsidRDefault="00AC7602" w:rsidP="00AC7602">
      <w:pPr>
        <w:pStyle w:val="ListParagraph"/>
        <w:spacing w:line="276" w:lineRule="auto"/>
        <w:jc w:val="both"/>
        <w:rPr>
          <w:rFonts w:ascii="Arial" w:hAnsi="Arial" w:cs="Arial"/>
        </w:rPr>
      </w:pPr>
    </w:p>
    <w:p w14:paraId="6D581D7C" w14:textId="77777777" w:rsidR="00AC7602" w:rsidRPr="0083332D" w:rsidRDefault="00AC7602" w:rsidP="0018223D">
      <w:pPr>
        <w:pStyle w:val="ListParagraph"/>
        <w:numPr>
          <w:ilvl w:val="0"/>
          <w:numId w:val="8"/>
        </w:numPr>
        <w:jc w:val="both"/>
        <w:rPr>
          <w:rFonts w:ascii="Arial" w:hAnsi="Arial" w:cs="Arial"/>
        </w:rPr>
      </w:pPr>
      <w:r w:rsidRPr="0083332D">
        <w:rPr>
          <w:rFonts w:ascii="Arial" w:hAnsi="Arial" w:cs="Arial"/>
        </w:rPr>
        <w:t>HBF suggest that the monitoring framework at the end of the Plan needs to be expanded.  The Council will need to monitor the delivery of housing and publish progress against a published Housing Trajectory Housing monitoring should be undertaken on a site-by-site basis.  Therefore, the detailed housing trajectory including for specific sites should be inserted included within the Plan.</w:t>
      </w:r>
    </w:p>
    <w:p w14:paraId="68700F90" w14:textId="77777777" w:rsidR="00AC7602" w:rsidRDefault="00AC7602" w:rsidP="00AC7602">
      <w:pPr>
        <w:pStyle w:val="ListParagraph"/>
        <w:spacing w:line="276" w:lineRule="auto"/>
        <w:jc w:val="both"/>
        <w:rPr>
          <w:rFonts w:ascii="Arial" w:hAnsi="Arial" w:cs="Arial"/>
        </w:rPr>
      </w:pPr>
    </w:p>
    <w:p w14:paraId="2E11E859" w14:textId="46A2C885" w:rsidR="00AC7602" w:rsidRPr="00495F61" w:rsidRDefault="00AC7602" w:rsidP="00AC7602">
      <w:pPr>
        <w:pStyle w:val="ListParagraph"/>
        <w:numPr>
          <w:ilvl w:val="0"/>
          <w:numId w:val="8"/>
        </w:numPr>
        <w:spacing w:line="276" w:lineRule="auto"/>
        <w:jc w:val="both"/>
        <w:rPr>
          <w:rFonts w:ascii="Arial" w:hAnsi="Arial" w:cs="Arial"/>
        </w:rPr>
      </w:pPr>
      <w:r w:rsidRPr="00495F61">
        <w:rPr>
          <w:rFonts w:cstheme="minorHAnsi"/>
        </w:rPr>
        <w:t xml:space="preserve">HBF note that as we are </w:t>
      </w:r>
      <w:proofErr w:type="gramStart"/>
      <w:r w:rsidRPr="00495F61">
        <w:rPr>
          <w:rFonts w:cstheme="minorHAnsi"/>
        </w:rPr>
        <w:t>in the midst of</w:t>
      </w:r>
      <w:proofErr w:type="gramEnd"/>
      <w:r w:rsidRPr="00495F61">
        <w:rPr>
          <w:rFonts w:cstheme="minorHAnsi"/>
        </w:rPr>
        <w:t xml:space="preserve"> a housing crisis, it is very important that the Council ensures that the Local Plan delivers all the housing that is being planned for.  Sandwell should also monitor the delivery of any unmet need by neighbouring authorities and actively participate in local plan consultation and examination to ensure the need for other authorities to meet their need is robustly supported in ne</w:t>
      </w:r>
      <w:r w:rsidR="00BE4AC5">
        <w:rPr>
          <w:rFonts w:cstheme="minorHAnsi"/>
        </w:rPr>
        <w:t>i</w:t>
      </w:r>
      <w:r w:rsidRPr="00495F61">
        <w:rPr>
          <w:rFonts w:cstheme="minorHAnsi"/>
        </w:rPr>
        <w:t xml:space="preserve">ghbouring Local Plans. </w:t>
      </w:r>
    </w:p>
    <w:p w14:paraId="34EC6A1E" w14:textId="77777777" w:rsidR="00784141" w:rsidRPr="001C0091" w:rsidRDefault="00784141" w:rsidP="001C0091">
      <w:pPr>
        <w:pStyle w:val="ListParagraph"/>
        <w:rPr>
          <w:rFonts w:cstheme="minorHAnsi"/>
        </w:rPr>
      </w:pPr>
    </w:p>
    <w:p w14:paraId="1C1F75E3" w14:textId="140A3B05" w:rsidR="001C0091" w:rsidRPr="001C0091" w:rsidRDefault="001C0091" w:rsidP="001C0091">
      <w:pPr>
        <w:pStyle w:val="ListParagraph"/>
        <w:rPr>
          <w:rFonts w:cstheme="minorHAnsi"/>
          <w:b/>
          <w:bCs/>
        </w:rPr>
      </w:pPr>
      <w:r w:rsidRPr="001C0091">
        <w:rPr>
          <w:rFonts w:cstheme="minorHAnsi"/>
          <w:b/>
          <w:bCs/>
        </w:rPr>
        <w:t>Appearance at the EIP and Future Engagement</w:t>
      </w:r>
    </w:p>
    <w:p w14:paraId="7DFA581B" w14:textId="77777777" w:rsidR="001C0091" w:rsidRPr="001C0091" w:rsidRDefault="001C0091" w:rsidP="001C0091">
      <w:pPr>
        <w:pStyle w:val="ListParagraph"/>
        <w:rPr>
          <w:rFonts w:cstheme="minorHAnsi"/>
        </w:rPr>
      </w:pPr>
    </w:p>
    <w:p w14:paraId="0813116D" w14:textId="0455A2BD" w:rsidR="001C0091" w:rsidRDefault="001C0091" w:rsidP="001C0091">
      <w:pPr>
        <w:pStyle w:val="ListParagraph"/>
        <w:numPr>
          <w:ilvl w:val="0"/>
          <w:numId w:val="8"/>
        </w:numPr>
        <w:rPr>
          <w:rFonts w:cstheme="minorHAnsi"/>
        </w:rPr>
      </w:pPr>
      <w:r w:rsidRPr="001C0091">
        <w:rPr>
          <w:rFonts w:cstheme="minorHAnsi"/>
        </w:rPr>
        <w:t xml:space="preserve">HBF requests to participate in the Hearing Sessions for the Local Plan Examination, the HBF considers that their involvement is necessary to ensure that the home building industry </w:t>
      </w:r>
      <w:proofErr w:type="gramStart"/>
      <w:r w:rsidRPr="001C0091">
        <w:rPr>
          <w:rFonts w:cstheme="minorHAnsi"/>
        </w:rPr>
        <w:t>is able to</w:t>
      </w:r>
      <w:proofErr w:type="gramEnd"/>
      <w:r w:rsidRPr="001C0091">
        <w:rPr>
          <w:rFonts w:cstheme="minorHAnsi"/>
        </w:rPr>
        <w:t xml:space="preserve"> respond to any housing related issues raised during the hearing sessions.</w:t>
      </w:r>
    </w:p>
    <w:p w14:paraId="4A9D84FC" w14:textId="77777777" w:rsidR="00FE0028" w:rsidRDefault="00FE0028" w:rsidP="00FE0028">
      <w:pPr>
        <w:pStyle w:val="ListParagraph"/>
        <w:rPr>
          <w:rFonts w:cstheme="minorHAnsi"/>
        </w:rPr>
      </w:pPr>
    </w:p>
    <w:p w14:paraId="0DE1A421" w14:textId="77777777" w:rsidR="00FE0028" w:rsidRDefault="00FE0028" w:rsidP="00FE0028">
      <w:pPr>
        <w:pStyle w:val="ListParagraph"/>
        <w:numPr>
          <w:ilvl w:val="0"/>
          <w:numId w:val="8"/>
        </w:numPr>
        <w:spacing w:line="276" w:lineRule="auto"/>
        <w:jc w:val="both"/>
        <w:rPr>
          <w:rFonts w:ascii="Arial" w:hAnsi="Arial" w:cs="Arial"/>
        </w:rPr>
      </w:pPr>
      <w:r w:rsidRPr="1808E869">
        <w:rPr>
          <w:rFonts w:ascii="Arial" w:hAnsi="Arial" w:cs="Arial"/>
        </w:rPr>
        <w:t>I trust that the Council will find these comments useful as it continues to progress its Local Plan. I would be happy to discuss these issues in greater detail or assist in facilitating discussions with the wider house building industry.</w:t>
      </w:r>
    </w:p>
    <w:p w14:paraId="401FFD7E" w14:textId="77777777" w:rsidR="00243518" w:rsidRPr="00D94CD9" w:rsidRDefault="00243518" w:rsidP="00E44E59">
      <w:pPr>
        <w:spacing w:line="276" w:lineRule="auto"/>
        <w:jc w:val="both"/>
        <w:rPr>
          <w:rFonts w:ascii="Arial" w:hAnsi="Arial" w:cs="Arial"/>
          <w:sz w:val="22"/>
          <w:szCs w:val="22"/>
        </w:rPr>
      </w:pPr>
    </w:p>
    <w:p w14:paraId="31C6FF70" w14:textId="1E864B27" w:rsidR="0057672A" w:rsidRPr="00D862A9" w:rsidRDefault="0057672A" w:rsidP="00B51608">
      <w:pPr>
        <w:spacing w:line="276" w:lineRule="auto"/>
        <w:ind w:firstLine="360"/>
        <w:rPr>
          <w:rFonts w:ascii="Arial" w:hAnsi="Arial" w:cs="Arial"/>
          <w:sz w:val="22"/>
          <w:szCs w:val="22"/>
        </w:rPr>
      </w:pPr>
      <w:r w:rsidRPr="00D862A9">
        <w:rPr>
          <w:rFonts w:ascii="Arial" w:hAnsi="Arial" w:cs="Arial"/>
          <w:sz w:val="22"/>
          <w:szCs w:val="22"/>
        </w:rPr>
        <w:lastRenderedPageBreak/>
        <w:t>Yours faithfully</w:t>
      </w:r>
    </w:p>
    <w:p w14:paraId="1E12CE9A" w14:textId="50E99319" w:rsidR="0003321B" w:rsidRDefault="0003321B" w:rsidP="00B51608">
      <w:pPr>
        <w:spacing w:line="276" w:lineRule="auto"/>
        <w:ind w:firstLine="360"/>
        <w:rPr>
          <w:rFonts w:ascii="Arial" w:hAnsi="Arial" w:cs="Arial"/>
          <w:noProof/>
          <w:sz w:val="22"/>
          <w:szCs w:val="22"/>
        </w:rPr>
      </w:pPr>
    </w:p>
    <w:p w14:paraId="77E214C1" w14:textId="77777777" w:rsidR="00BC0E1C" w:rsidRDefault="00BC0E1C" w:rsidP="00B51608">
      <w:pPr>
        <w:spacing w:line="276" w:lineRule="auto"/>
        <w:ind w:firstLine="360"/>
        <w:rPr>
          <w:rFonts w:ascii="Arial" w:hAnsi="Arial" w:cs="Arial"/>
          <w:noProof/>
          <w:sz w:val="22"/>
          <w:szCs w:val="22"/>
        </w:rPr>
      </w:pPr>
    </w:p>
    <w:p w14:paraId="656885F7" w14:textId="77777777" w:rsidR="00BC0E1C" w:rsidRDefault="00BC0E1C" w:rsidP="00B51608">
      <w:pPr>
        <w:spacing w:line="276" w:lineRule="auto"/>
        <w:ind w:firstLine="360"/>
        <w:rPr>
          <w:rFonts w:ascii="Arial" w:hAnsi="Arial" w:cs="Arial"/>
          <w:noProof/>
          <w:sz w:val="22"/>
          <w:szCs w:val="22"/>
        </w:rPr>
      </w:pPr>
    </w:p>
    <w:p w14:paraId="6A4EE62E" w14:textId="77777777" w:rsidR="00BC0E1C" w:rsidRDefault="00BC0E1C" w:rsidP="00B51608">
      <w:pPr>
        <w:spacing w:line="276" w:lineRule="auto"/>
        <w:ind w:firstLine="360"/>
        <w:rPr>
          <w:rFonts w:ascii="Arial" w:hAnsi="Arial" w:cs="Arial"/>
          <w:sz w:val="22"/>
          <w:szCs w:val="22"/>
        </w:rPr>
      </w:pPr>
    </w:p>
    <w:p w14:paraId="3D42B0A6" w14:textId="09CF9291" w:rsidR="0057672A" w:rsidRPr="00D862A9" w:rsidRDefault="00496024" w:rsidP="0003321B">
      <w:pPr>
        <w:spacing w:line="276" w:lineRule="auto"/>
        <w:ind w:firstLine="360"/>
        <w:rPr>
          <w:rFonts w:ascii="Arial" w:hAnsi="Arial" w:cs="Arial"/>
          <w:sz w:val="22"/>
          <w:szCs w:val="22"/>
        </w:rPr>
      </w:pPr>
      <w:r>
        <w:rPr>
          <w:rFonts w:ascii="Arial" w:hAnsi="Arial" w:cs="Arial"/>
          <w:sz w:val="22"/>
          <w:szCs w:val="22"/>
        </w:rPr>
        <w:t>Rachel Danemann MRTPI CIHCM AssocRICS</w:t>
      </w:r>
    </w:p>
    <w:p w14:paraId="427F95B0" w14:textId="195001D4" w:rsidR="0057672A" w:rsidRPr="00D862A9" w:rsidRDefault="0057672A" w:rsidP="00B51608">
      <w:pPr>
        <w:spacing w:line="276" w:lineRule="auto"/>
        <w:ind w:firstLine="360"/>
        <w:rPr>
          <w:rFonts w:ascii="Arial" w:hAnsi="Arial" w:cs="Arial"/>
          <w:sz w:val="22"/>
          <w:szCs w:val="22"/>
        </w:rPr>
      </w:pPr>
      <w:r w:rsidRPr="00D862A9">
        <w:rPr>
          <w:rFonts w:ascii="Arial" w:hAnsi="Arial" w:cs="Arial"/>
          <w:sz w:val="22"/>
          <w:szCs w:val="22"/>
        </w:rPr>
        <w:t>Planning Manager – Local Plans</w:t>
      </w:r>
      <w:r w:rsidR="00496024">
        <w:rPr>
          <w:rFonts w:ascii="Arial" w:hAnsi="Arial" w:cs="Arial"/>
          <w:sz w:val="22"/>
          <w:szCs w:val="22"/>
        </w:rPr>
        <w:t xml:space="preserve"> (Midlands and </w:t>
      </w:r>
      <w:proofErr w:type="gramStart"/>
      <w:r w:rsidR="00496024">
        <w:rPr>
          <w:rFonts w:ascii="Arial" w:hAnsi="Arial" w:cs="Arial"/>
          <w:sz w:val="22"/>
          <w:szCs w:val="22"/>
        </w:rPr>
        <w:t>South West</w:t>
      </w:r>
      <w:proofErr w:type="gramEnd"/>
      <w:r w:rsidR="00496024">
        <w:rPr>
          <w:rFonts w:ascii="Arial" w:hAnsi="Arial" w:cs="Arial"/>
          <w:sz w:val="22"/>
          <w:szCs w:val="22"/>
        </w:rPr>
        <w:t>)</w:t>
      </w:r>
    </w:p>
    <w:p w14:paraId="339E626C" w14:textId="77777777" w:rsidR="0057672A" w:rsidRPr="00D862A9" w:rsidRDefault="0057672A" w:rsidP="00B51608">
      <w:pPr>
        <w:spacing w:line="276" w:lineRule="auto"/>
        <w:ind w:firstLine="360"/>
        <w:rPr>
          <w:rFonts w:ascii="Arial" w:hAnsi="Arial" w:cs="Arial"/>
          <w:sz w:val="22"/>
          <w:szCs w:val="22"/>
        </w:rPr>
      </w:pPr>
      <w:r w:rsidRPr="00D862A9">
        <w:rPr>
          <w:rFonts w:ascii="Arial" w:hAnsi="Arial" w:cs="Arial"/>
          <w:sz w:val="22"/>
          <w:szCs w:val="22"/>
        </w:rPr>
        <w:t>Home Builders Federation</w:t>
      </w:r>
    </w:p>
    <w:p w14:paraId="5E3288C6" w14:textId="6FE15863" w:rsidR="0057672A" w:rsidRDefault="0057672A" w:rsidP="00B51608">
      <w:pPr>
        <w:spacing w:line="276" w:lineRule="auto"/>
        <w:ind w:firstLine="360"/>
        <w:rPr>
          <w:rFonts w:ascii="Arial" w:hAnsi="Arial" w:cs="Arial"/>
          <w:sz w:val="22"/>
          <w:szCs w:val="22"/>
        </w:rPr>
      </w:pPr>
      <w:r w:rsidRPr="00D862A9">
        <w:rPr>
          <w:rFonts w:ascii="Arial" w:hAnsi="Arial" w:cs="Arial"/>
          <w:sz w:val="22"/>
          <w:szCs w:val="22"/>
        </w:rPr>
        <w:t>Email:</w:t>
      </w:r>
      <w:r w:rsidRPr="00EC7BA5">
        <w:rPr>
          <w:rFonts w:ascii="Arial" w:hAnsi="Arial" w:cs="Arial"/>
          <w:sz w:val="22"/>
          <w:szCs w:val="22"/>
        </w:rPr>
        <w:t xml:space="preserve"> </w:t>
      </w:r>
    </w:p>
    <w:p w14:paraId="6A81AF09" w14:textId="3308BA76" w:rsidR="004F55E4" w:rsidRDefault="00EC7BA5" w:rsidP="00A84EA4">
      <w:pPr>
        <w:spacing w:line="276" w:lineRule="auto"/>
        <w:ind w:firstLine="360"/>
        <w:rPr>
          <w:rFonts w:ascii="Arial" w:hAnsi="Arial" w:cs="Arial"/>
          <w:sz w:val="22"/>
          <w:szCs w:val="22"/>
        </w:rPr>
      </w:pPr>
      <w:r>
        <w:rPr>
          <w:rFonts w:ascii="Arial" w:hAnsi="Arial" w:cs="Arial"/>
          <w:sz w:val="22"/>
          <w:szCs w:val="22"/>
        </w:rPr>
        <w:t>Phone</w:t>
      </w:r>
      <w:r w:rsidR="0057672A" w:rsidRPr="00D862A9">
        <w:rPr>
          <w:rFonts w:ascii="Arial" w:hAnsi="Arial" w:cs="Arial"/>
          <w:sz w:val="22"/>
          <w:szCs w:val="22"/>
        </w:rPr>
        <w:t xml:space="preserve">: </w:t>
      </w:r>
    </w:p>
    <w:sectPr w:rsidR="004F55E4" w:rsidSect="007660D8">
      <w:headerReference w:type="default" r:id="rId16"/>
      <w:footerReference w:type="default" r:id="rId17"/>
      <w:footerReference w:type="first" r:id="rId18"/>
      <w:pgSz w:w="11906" w:h="16838" w:code="9"/>
      <w:pgMar w:top="1440" w:right="1797" w:bottom="1702" w:left="1797" w:header="720" w:footer="0" w:gutter="0"/>
      <w:paperSrc w:first="262" w:other="26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889F" w14:textId="77777777" w:rsidR="00F26882" w:rsidRDefault="00F26882" w:rsidP="00CE103B">
      <w:r>
        <w:separator/>
      </w:r>
    </w:p>
  </w:endnote>
  <w:endnote w:type="continuationSeparator" w:id="0">
    <w:p w14:paraId="711873FE" w14:textId="77777777" w:rsidR="00F26882" w:rsidRDefault="00F26882" w:rsidP="00CE103B">
      <w:r>
        <w:continuationSeparator/>
      </w:r>
    </w:p>
  </w:endnote>
  <w:endnote w:type="continuationNotice" w:id="1">
    <w:p w14:paraId="3462206C" w14:textId="77777777" w:rsidR="00F26882" w:rsidRDefault="00F26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668F" w14:textId="77777777" w:rsidR="00212F19" w:rsidRPr="00C3710F" w:rsidRDefault="00212F19" w:rsidP="00C3710F">
    <w:pPr>
      <w:pStyle w:val="Footer"/>
      <w:jc w:val="both"/>
      <w:rPr>
        <w:rFonts w:ascii="Arial" w:hAnsi="Arial" w:cs="Arial"/>
        <w:color w:val="FFFFFF" w:themeColor="background1"/>
        <w:sz w:val="14"/>
      </w:rPr>
    </w:pPr>
    <w:r>
      <w:rPr>
        <w:rFonts w:ascii="Calibri" w:hAnsi="Calibri"/>
        <w:b/>
        <w:noProof/>
        <w:lang w:eastAsia="en-GB"/>
      </w:rPr>
      <w:drawing>
        <wp:anchor distT="0" distB="0" distL="114300" distR="114300" simplePos="0" relativeHeight="251656192" behindDoc="0" locked="0" layoutInCell="1" allowOverlap="1" wp14:anchorId="275335F5" wp14:editId="3E49CB06">
          <wp:simplePos x="0" y="0"/>
          <wp:positionH relativeFrom="column">
            <wp:posOffset>3739152</wp:posOffset>
          </wp:positionH>
          <wp:positionV relativeFrom="paragraph">
            <wp:posOffset>-19685</wp:posOffset>
          </wp:positionV>
          <wp:extent cx="114300" cy="1143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witter-bird-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14:sizeRelH relativeFrom="margin">
            <wp14:pctWidth>0</wp14:pctWidth>
          </wp14:sizeRelH>
          <wp14:sizeRelV relativeFrom="margin">
            <wp14:pctHeight>0</wp14:pctHeight>
          </wp14:sizeRelV>
        </wp:anchor>
      </w:drawing>
    </w:r>
  </w:p>
  <w:p w14:paraId="031848E8" w14:textId="77777777" w:rsidR="00212F19" w:rsidRDefault="0021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E549" w14:textId="77777777" w:rsidR="00212F19" w:rsidRDefault="00212F19">
    <w:pPr>
      <w:pStyle w:val="Footer"/>
    </w:pPr>
    <w:r w:rsidRPr="00196A1D">
      <w:rPr>
        <w:noProof/>
        <w:lang w:eastAsia="en-GB"/>
      </w:rPr>
      <mc:AlternateContent>
        <mc:Choice Requires="wps">
          <w:drawing>
            <wp:anchor distT="0" distB="0" distL="114300" distR="114300" simplePos="0" relativeHeight="251658240" behindDoc="0" locked="0" layoutInCell="1" allowOverlap="1" wp14:anchorId="2FFE88E9" wp14:editId="52D7236B">
              <wp:simplePos x="0" y="0"/>
              <wp:positionH relativeFrom="column">
                <wp:posOffset>3878580</wp:posOffset>
              </wp:positionH>
              <wp:positionV relativeFrom="paragraph">
                <wp:posOffset>-506095</wp:posOffset>
              </wp:positionV>
              <wp:extent cx="2462400" cy="662400"/>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4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4117C" w14:textId="77777777" w:rsidR="00212F19" w:rsidRPr="00196A1D" w:rsidRDefault="00212F19" w:rsidP="00196A1D">
                          <w:pPr>
                            <w:pStyle w:val="Header"/>
                            <w:rPr>
                              <w:rFonts w:ascii="AvenirNext LT Pro Regular" w:hAnsi="AvenirNext LT Pro Regular"/>
                              <w:color w:val="53AAB1" w:themeColor="accent1"/>
                              <w:sz w:val="14"/>
                            </w:rPr>
                          </w:pPr>
                          <w:r w:rsidRPr="00196A1D">
                            <w:rPr>
                              <w:rFonts w:ascii="AvenirNext LT Pro Regular" w:hAnsi="AvenirNext LT Pro Regular"/>
                              <w:color w:val="53AAB1" w:themeColor="accent1"/>
                              <w:sz w:val="14"/>
                            </w:rPr>
                            <w:t>Home Builders Federation</w:t>
                          </w:r>
                        </w:p>
                        <w:p w14:paraId="205FB849" w14:textId="77777777" w:rsidR="00212F19" w:rsidRPr="00196A1D" w:rsidRDefault="00212F19" w:rsidP="00196A1D">
                          <w:pPr>
                            <w:pStyle w:val="Header"/>
                            <w:rPr>
                              <w:rFonts w:ascii="AvenirNext LT Pro Regular" w:hAnsi="AvenirNext LT Pro Regular"/>
                              <w:color w:val="53AAB1" w:themeColor="accent1"/>
                              <w:sz w:val="14"/>
                            </w:rPr>
                          </w:pPr>
                          <w:r w:rsidRPr="00196A1D">
                            <w:rPr>
                              <w:rFonts w:ascii="AvenirNext LT Pro Regular" w:hAnsi="AvenirNext LT Pro Regular"/>
                              <w:color w:val="53AAB1" w:themeColor="accent1"/>
                              <w:sz w:val="14"/>
                            </w:rPr>
                            <w:t>HBF House, 27 Broadwall, London SE1 9PL</w:t>
                          </w:r>
                        </w:p>
                        <w:p w14:paraId="132D9446" w14:textId="77777777" w:rsidR="00212F19" w:rsidRPr="00196A1D" w:rsidRDefault="00212F19" w:rsidP="00196A1D">
                          <w:pPr>
                            <w:pStyle w:val="Header"/>
                            <w:rPr>
                              <w:rFonts w:ascii="AvenirNext LT Pro Regular" w:hAnsi="AvenirNext LT Pro Regular"/>
                              <w:color w:val="53AAB1" w:themeColor="accent1"/>
                              <w:sz w:val="14"/>
                            </w:rPr>
                          </w:pPr>
                          <w:r w:rsidRPr="00196A1D">
                            <w:rPr>
                              <w:rFonts w:ascii="AvenirNext LT Pro Regular" w:hAnsi="AvenirNext LT Pro Regular"/>
                              <w:color w:val="53AAB1" w:themeColor="accent1"/>
                              <w:sz w:val="14"/>
                            </w:rPr>
                            <w:t xml:space="preserve">Tel: 0207 960 1600 </w:t>
                          </w:r>
                        </w:p>
                        <w:p w14:paraId="569E0D68" w14:textId="77777777" w:rsidR="00212F19" w:rsidRPr="00196A1D" w:rsidRDefault="00212F19" w:rsidP="00196A1D">
                          <w:pPr>
                            <w:pStyle w:val="Header"/>
                            <w:rPr>
                              <w:rFonts w:ascii="AvenirNext LT Pro Regular" w:hAnsi="AvenirNext LT Pro Regular"/>
                              <w:color w:val="53AAB1" w:themeColor="accent1"/>
                              <w:sz w:val="14"/>
                            </w:rPr>
                          </w:pPr>
                          <w:r w:rsidRPr="00196A1D">
                            <w:rPr>
                              <w:rFonts w:ascii="AvenirNext LT Pro Regular" w:hAnsi="AvenirNext LT Pro Regular"/>
                              <w:color w:val="53AAB1" w:themeColor="accent1"/>
                              <w:sz w:val="14"/>
                            </w:rPr>
                            <w:t xml:space="preserve">Email: </w:t>
                          </w:r>
                          <w:hyperlink r:id="rId1" w:history="1">
                            <w:r w:rsidRPr="00196A1D">
                              <w:rPr>
                                <w:rFonts w:ascii="AvenirNext LT Pro Regular" w:hAnsi="AvenirNext LT Pro Regular"/>
                                <w:color w:val="53AAB1" w:themeColor="accent1"/>
                                <w:sz w:val="14"/>
                                <w:u w:val="single"/>
                              </w:rPr>
                              <w:t>info@hbf.co.uk</w:t>
                            </w:r>
                          </w:hyperlink>
                          <w:r w:rsidRPr="00196A1D">
                            <w:rPr>
                              <w:rFonts w:ascii="AvenirNext LT Pro Regular" w:hAnsi="AvenirNext LT Pro Regular"/>
                              <w:color w:val="53AAB1" w:themeColor="accent1"/>
                              <w:sz w:val="14"/>
                            </w:rPr>
                            <w:t xml:space="preserve">    Website: </w:t>
                          </w:r>
                          <w:hyperlink r:id="rId2" w:history="1">
                            <w:r w:rsidRPr="00196A1D">
                              <w:rPr>
                                <w:rFonts w:ascii="AvenirNext LT Pro Regular" w:hAnsi="AvenirNext LT Pro Regular"/>
                                <w:color w:val="53AAB1" w:themeColor="accent1"/>
                                <w:sz w:val="14"/>
                                <w:u w:val="single"/>
                              </w:rPr>
                              <w:t>www.hbf.co.uk</w:t>
                            </w:r>
                          </w:hyperlink>
                          <w:r w:rsidRPr="00196A1D">
                            <w:rPr>
                              <w:rFonts w:ascii="AvenirNext LT Pro Regular" w:hAnsi="AvenirNext LT Pro Regular"/>
                              <w:color w:val="53AAB1" w:themeColor="accent1"/>
                              <w:sz w:val="14"/>
                            </w:rPr>
                            <w:t xml:space="preserve">    Twitter: @HomeBuildersFed</w:t>
                          </w:r>
                        </w:p>
                        <w:p w14:paraId="08752FAB" w14:textId="77777777" w:rsidR="00212F19" w:rsidRPr="00196A1D" w:rsidRDefault="00212F19" w:rsidP="00196A1D">
                          <w:pPr>
                            <w:pStyle w:val="Header"/>
                            <w:rPr>
                              <w:rFonts w:ascii="AvenirNext LT Pro Regular" w:hAnsi="AvenirNext LT Pro Regular"/>
                              <w:color w:val="53AAB1" w:themeColor="accent1"/>
                              <w:sz w:val="2"/>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type w14:anchorId="2FFE88E9" id="_x0000_t202" coordsize="21600,21600" o:spt="202" path="m,l,21600r21600,l21600,xe">
              <v:stroke joinstyle="miter"/>
              <v:path gradientshapeok="t" o:connecttype="rect"/>
            </v:shapetype>
            <v:shape id="Text Box 9" o:spid="_x0000_s1026" type="#_x0000_t202" style="position:absolute;margin-left:305.4pt;margin-top:-39.85pt;width:193.9pt;height:52.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Q2gEAAKEDAAAOAAAAZHJzL2Uyb0RvYy54bWysU9uO0zAQfUfiHyy/06RRKBA1XS27WoS0&#10;sEgLH+A4dmKReMzYbVK+nrHT7RZ4Q7xYc8uZOWcm26t5HNhBoTdga75e5ZwpK6E1tqv5t693r95y&#10;5oOwrRjAqpofledXu5cvtpOrVAE9DK1CRiDWV5OreR+Cq7LMy16Nwq/AKUtJDTiKQC52WYtiIvRx&#10;yIo832QTYOsQpPKeordLku8SvtZKhgetvQpsqDnNFtKL6W3im+22oupQuN7I0xjiH6YYhbHU9Ax1&#10;K4JgezR/QY1GInjQYSVhzEBrI1XiQGzW+R9sHnvhVOJC4nh3lsn/P1j5+fDoviAL83uYaYGJhHf3&#10;IL97ZuGmF7ZT14gw9Uq01HgdJcsm56vTp1FqX/kI0kyfoKUli32ABDRrHKMqxJMROi3geBZdzYFJ&#10;ChblpihzSknKbRY7thDV09cOffigYGTRqDnSUhO6ONz7sJQ+lcRmFu7MMKTFDva3AGHGSJo+DryM&#10;HuZmpurIooH2SDwQljuhuyajB/zJ2UQ3UnP/Yy9QcTZ8tKTFu3VZxqNKTvn6TUEOXmaay4ywkqBq&#10;HjhbzJuwHOLeoel66rSob+Ga9NMmUXue6jQ33UES53Sz8dAu/VT1/GftfgEAAP//AwBQSwMEFAAG&#10;AAgAAAAhAKX3qf/fAAAACgEAAA8AAABkcnMvZG93bnJldi54bWxMj0FPwkAUhO8m/ofNM/EGuxAs&#10;tPaVEIxXjQgk3Jbuo23svm26C63/3vWkx8lMZr7J16NtxY163zhGmE0VCOLSmYYrhP3n62QFwgfN&#10;RreOCeGbPKyL+7tcZ8YN/EG3XahELGGfaYQ6hC6T0pc1We2nriOO3sX1Voco+0qaXg+x3LZyrlQi&#10;rW44LtS6o21N5dfuahEOb5fTcaHeqxf71A1uVJJtKhEfH8bNM4hAY/gLwy9+RIciMp3dlY0XLUIy&#10;UxE9IEyW6RJETKTpKgFxRpgvEpBFLv9fKH4AAAD//wMAUEsBAi0AFAAGAAgAAAAhALaDOJL+AAAA&#10;4QEAABMAAAAAAAAAAAAAAAAAAAAAAFtDb250ZW50X1R5cGVzXS54bWxQSwECLQAUAAYACAAAACEA&#10;OP0h/9YAAACUAQAACwAAAAAAAAAAAAAAAAAvAQAAX3JlbHMvLnJlbHNQSwECLQAUAAYACAAAACEA&#10;XpIf0NoBAAChAwAADgAAAAAAAAAAAAAAAAAuAgAAZHJzL2Uyb0RvYy54bWxQSwECLQAUAAYACAAA&#10;ACEApfep/98AAAAKAQAADwAAAAAAAAAAAAAAAAA0BAAAZHJzL2Rvd25yZXYueG1sUEsFBgAAAAAE&#10;AAQA8wAAAEAFAAAAAA==&#10;" filled="f" stroked="f">
              <v:textbox>
                <w:txbxContent>
                  <w:p w14:paraId="7A44117C" w14:textId="77777777" w:rsidR="00212F19" w:rsidRPr="00196A1D" w:rsidRDefault="00212F19" w:rsidP="00196A1D">
                    <w:pPr>
                      <w:pStyle w:val="Header"/>
                      <w:rPr>
                        <w:rFonts w:ascii="AvenirNext LT Pro Regular" w:hAnsi="AvenirNext LT Pro Regular"/>
                        <w:color w:val="53AAB1" w:themeColor="accent1"/>
                        <w:sz w:val="14"/>
                      </w:rPr>
                    </w:pPr>
                    <w:r w:rsidRPr="00196A1D">
                      <w:rPr>
                        <w:rFonts w:ascii="AvenirNext LT Pro Regular" w:hAnsi="AvenirNext LT Pro Regular"/>
                        <w:color w:val="53AAB1" w:themeColor="accent1"/>
                        <w:sz w:val="14"/>
                      </w:rPr>
                      <w:t>Home Builders Federation</w:t>
                    </w:r>
                  </w:p>
                  <w:p w14:paraId="205FB849" w14:textId="77777777" w:rsidR="00212F19" w:rsidRPr="00196A1D" w:rsidRDefault="00212F19" w:rsidP="00196A1D">
                    <w:pPr>
                      <w:pStyle w:val="Header"/>
                      <w:rPr>
                        <w:rFonts w:ascii="AvenirNext LT Pro Regular" w:hAnsi="AvenirNext LT Pro Regular"/>
                        <w:color w:val="53AAB1" w:themeColor="accent1"/>
                        <w:sz w:val="14"/>
                      </w:rPr>
                    </w:pPr>
                    <w:r w:rsidRPr="00196A1D">
                      <w:rPr>
                        <w:rFonts w:ascii="AvenirNext LT Pro Regular" w:hAnsi="AvenirNext LT Pro Regular"/>
                        <w:color w:val="53AAB1" w:themeColor="accent1"/>
                        <w:sz w:val="14"/>
                      </w:rPr>
                      <w:t>HBF House, 27 Broadwall, London SE1 9PL</w:t>
                    </w:r>
                  </w:p>
                  <w:p w14:paraId="132D9446" w14:textId="77777777" w:rsidR="00212F19" w:rsidRPr="00196A1D" w:rsidRDefault="00212F19" w:rsidP="00196A1D">
                    <w:pPr>
                      <w:pStyle w:val="Header"/>
                      <w:rPr>
                        <w:rFonts w:ascii="AvenirNext LT Pro Regular" w:hAnsi="AvenirNext LT Pro Regular"/>
                        <w:color w:val="53AAB1" w:themeColor="accent1"/>
                        <w:sz w:val="14"/>
                      </w:rPr>
                    </w:pPr>
                    <w:r w:rsidRPr="00196A1D">
                      <w:rPr>
                        <w:rFonts w:ascii="AvenirNext LT Pro Regular" w:hAnsi="AvenirNext LT Pro Regular"/>
                        <w:color w:val="53AAB1" w:themeColor="accent1"/>
                        <w:sz w:val="14"/>
                      </w:rPr>
                      <w:t xml:space="preserve">Tel: 0207 960 1600 </w:t>
                    </w:r>
                  </w:p>
                  <w:p w14:paraId="569E0D68" w14:textId="77777777" w:rsidR="00212F19" w:rsidRPr="00196A1D" w:rsidRDefault="00212F19" w:rsidP="00196A1D">
                    <w:pPr>
                      <w:pStyle w:val="Header"/>
                      <w:rPr>
                        <w:rFonts w:ascii="AvenirNext LT Pro Regular" w:hAnsi="AvenirNext LT Pro Regular"/>
                        <w:color w:val="53AAB1" w:themeColor="accent1"/>
                        <w:sz w:val="14"/>
                      </w:rPr>
                    </w:pPr>
                    <w:r w:rsidRPr="00196A1D">
                      <w:rPr>
                        <w:rFonts w:ascii="AvenirNext LT Pro Regular" w:hAnsi="AvenirNext LT Pro Regular"/>
                        <w:color w:val="53AAB1" w:themeColor="accent1"/>
                        <w:sz w:val="14"/>
                      </w:rPr>
                      <w:t xml:space="preserve">Email: </w:t>
                    </w:r>
                    <w:hyperlink r:id="rId3" w:history="1">
                      <w:r w:rsidRPr="00196A1D">
                        <w:rPr>
                          <w:rFonts w:ascii="AvenirNext LT Pro Regular" w:hAnsi="AvenirNext LT Pro Regular"/>
                          <w:color w:val="53AAB1" w:themeColor="accent1"/>
                          <w:sz w:val="14"/>
                          <w:u w:val="single"/>
                        </w:rPr>
                        <w:t>info@hbf.co.uk</w:t>
                      </w:r>
                    </w:hyperlink>
                    <w:r w:rsidRPr="00196A1D">
                      <w:rPr>
                        <w:rFonts w:ascii="AvenirNext LT Pro Regular" w:hAnsi="AvenirNext LT Pro Regular"/>
                        <w:color w:val="53AAB1" w:themeColor="accent1"/>
                        <w:sz w:val="14"/>
                      </w:rPr>
                      <w:t xml:space="preserve">    Website: </w:t>
                    </w:r>
                    <w:hyperlink r:id="rId4" w:history="1">
                      <w:r w:rsidRPr="00196A1D">
                        <w:rPr>
                          <w:rFonts w:ascii="AvenirNext LT Pro Regular" w:hAnsi="AvenirNext LT Pro Regular"/>
                          <w:color w:val="53AAB1" w:themeColor="accent1"/>
                          <w:sz w:val="14"/>
                          <w:u w:val="single"/>
                        </w:rPr>
                        <w:t>www.hbf.co.uk</w:t>
                      </w:r>
                    </w:hyperlink>
                    <w:r w:rsidRPr="00196A1D">
                      <w:rPr>
                        <w:rFonts w:ascii="AvenirNext LT Pro Regular" w:hAnsi="AvenirNext LT Pro Regular"/>
                        <w:color w:val="53AAB1" w:themeColor="accent1"/>
                        <w:sz w:val="14"/>
                      </w:rPr>
                      <w:t xml:space="preserve">    Twitter: @HomeBuildersFed</w:t>
                    </w:r>
                  </w:p>
                  <w:p w14:paraId="08752FAB" w14:textId="77777777" w:rsidR="00212F19" w:rsidRPr="00196A1D" w:rsidRDefault="00212F19" w:rsidP="00196A1D">
                    <w:pPr>
                      <w:pStyle w:val="Header"/>
                      <w:rPr>
                        <w:rFonts w:ascii="AvenirNext LT Pro Regular" w:hAnsi="AvenirNext LT Pro Regular"/>
                        <w:color w:val="53AAB1" w:themeColor="accent1"/>
                        <w:sz w:val="2"/>
                      </w:rPr>
                    </w:pPr>
                  </w:p>
                </w:txbxContent>
              </v:textbox>
            </v:shape>
          </w:pict>
        </mc:Fallback>
      </mc:AlternateContent>
    </w:r>
    <w:r w:rsidRPr="00196A1D">
      <w:rPr>
        <w:noProof/>
        <w:lang w:eastAsia="en-GB"/>
      </w:rPr>
      <w:drawing>
        <wp:anchor distT="0" distB="0" distL="114300" distR="114300" simplePos="0" relativeHeight="251657216" behindDoc="0" locked="0" layoutInCell="1" allowOverlap="1" wp14:anchorId="2276925F" wp14:editId="39D9F977">
          <wp:simplePos x="0" y="0"/>
          <wp:positionH relativeFrom="column">
            <wp:posOffset>-1181100</wp:posOffset>
          </wp:positionH>
          <wp:positionV relativeFrom="paragraph">
            <wp:posOffset>-845820</wp:posOffset>
          </wp:positionV>
          <wp:extent cx="7626985" cy="1009650"/>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626985" cy="10096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4693" w14:textId="77777777" w:rsidR="00F26882" w:rsidRDefault="00F26882" w:rsidP="00CE103B">
      <w:r>
        <w:separator/>
      </w:r>
    </w:p>
  </w:footnote>
  <w:footnote w:type="continuationSeparator" w:id="0">
    <w:p w14:paraId="0ACCD662" w14:textId="77777777" w:rsidR="00F26882" w:rsidRDefault="00F26882" w:rsidP="00CE103B">
      <w:r>
        <w:continuationSeparator/>
      </w:r>
    </w:p>
  </w:footnote>
  <w:footnote w:type="continuationNotice" w:id="1">
    <w:p w14:paraId="669D4A5F" w14:textId="77777777" w:rsidR="00F26882" w:rsidRDefault="00F26882"/>
  </w:footnote>
  <w:footnote w:id="2">
    <w:p w14:paraId="246437EF" w14:textId="77777777" w:rsidR="00487DF2" w:rsidRDefault="00487DF2" w:rsidP="00487DF2">
      <w:pPr>
        <w:pStyle w:val="FootnoteText"/>
      </w:pPr>
      <w:r>
        <w:rPr>
          <w:rStyle w:val="FootnoteReference"/>
        </w:rPr>
        <w:footnoteRef/>
      </w:r>
      <w:r>
        <w:t xml:space="preserve"> </w:t>
      </w:r>
      <w:r w:rsidRPr="00FE050C">
        <w:t>para 130f &amp; Footnote 49</w:t>
      </w:r>
    </w:p>
  </w:footnote>
  <w:footnote w:id="3">
    <w:p w14:paraId="33C29867" w14:textId="77777777" w:rsidR="00487DF2" w:rsidRDefault="00487DF2" w:rsidP="00487DF2">
      <w:pPr>
        <w:pStyle w:val="FootnoteText"/>
      </w:pPr>
      <w:r>
        <w:rPr>
          <w:rStyle w:val="FootnoteReference"/>
        </w:rPr>
        <w:footnoteRef/>
      </w:r>
      <w:r>
        <w:t xml:space="preserve"> Para 31</w:t>
      </w:r>
    </w:p>
  </w:footnote>
  <w:footnote w:id="4">
    <w:p w14:paraId="4B5D7ED2" w14:textId="77777777" w:rsidR="00487DF2" w:rsidRDefault="00487DF2" w:rsidP="00487DF2">
      <w:pPr>
        <w:pStyle w:val="FootnoteText"/>
      </w:pPr>
      <w:r>
        <w:rPr>
          <w:rStyle w:val="FootnoteReference"/>
        </w:rPr>
        <w:footnoteRef/>
      </w:r>
      <w:r>
        <w:t xml:space="preserve"> Ref </w:t>
      </w:r>
      <w:proofErr w:type="gramStart"/>
      <w:r>
        <w:t>needed</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D2DC" w14:textId="5189734E" w:rsidR="00212F19" w:rsidRDefault="00212F19">
    <w:pPr>
      <w:pStyle w:val="Header"/>
    </w:pPr>
    <w:r>
      <w:rPr>
        <w:noProof/>
        <w:lang w:eastAsia="en-GB"/>
      </w:rPr>
      <w:drawing>
        <wp:inline distT="0" distB="0" distL="0" distR="0" wp14:anchorId="4CEBC18A" wp14:editId="0B6C9CA9">
          <wp:extent cx="144780" cy="152400"/>
          <wp:effectExtent l="0" t="0" r="7620" b="0"/>
          <wp:docPr id="29" name="Picture 29" descr="Z:\Documents\Communications\HBF\JOBS &amp; PROJECTS\2016\04 Skills Report 2016\twitter-bird-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uments\Communications\HBF\JOBS &amp; PROJECTS\2016\04 Skills Report 2016\twitter-bird-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r>
      <w:rPr>
        <w:noProof/>
        <w:lang w:eastAsia="en-GB"/>
      </w:rPr>
      <w:drawing>
        <wp:inline distT="0" distB="0" distL="0" distR="0" wp14:anchorId="60C2A47B" wp14:editId="262CFF84">
          <wp:extent cx="144780" cy="152400"/>
          <wp:effectExtent l="0" t="0" r="7620" b="0"/>
          <wp:docPr id="30" name="Picture 30" descr="Z:\Documents\Communications\HBF\JOBS &amp; PROJECTS\2016\04 Skills Report 2016\twitter-bird-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ocuments\Communications\HBF\JOBS &amp; PROJECTS\2016\04 Skills Report 2016\twitter-bird-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736"/>
    <w:multiLevelType w:val="hybridMultilevel"/>
    <w:tmpl w:val="5C1E8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244A84"/>
    <w:multiLevelType w:val="hybridMultilevel"/>
    <w:tmpl w:val="B728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61A61"/>
    <w:multiLevelType w:val="hybridMultilevel"/>
    <w:tmpl w:val="5BB252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850BE"/>
    <w:multiLevelType w:val="multilevel"/>
    <w:tmpl w:val="86A27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A3E38"/>
    <w:multiLevelType w:val="hybridMultilevel"/>
    <w:tmpl w:val="5ED6D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F0773C"/>
    <w:multiLevelType w:val="hybridMultilevel"/>
    <w:tmpl w:val="85B4C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D144F"/>
    <w:multiLevelType w:val="hybridMultilevel"/>
    <w:tmpl w:val="29645F80"/>
    <w:lvl w:ilvl="0" w:tplc="D4AC867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697C0F"/>
    <w:multiLevelType w:val="hybridMultilevel"/>
    <w:tmpl w:val="447C9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9D3781"/>
    <w:multiLevelType w:val="hybridMultilevel"/>
    <w:tmpl w:val="59384C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B54AF"/>
    <w:multiLevelType w:val="hybridMultilevel"/>
    <w:tmpl w:val="F702C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C22950"/>
    <w:multiLevelType w:val="hybridMultilevel"/>
    <w:tmpl w:val="B1C8FA8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AE5A8A"/>
    <w:multiLevelType w:val="hybridMultilevel"/>
    <w:tmpl w:val="580C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371A4"/>
    <w:multiLevelType w:val="hybridMultilevel"/>
    <w:tmpl w:val="7430E32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5D336D"/>
    <w:multiLevelType w:val="hybridMultilevel"/>
    <w:tmpl w:val="FFFFFFFF"/>
    <w:lvl w:ilvl="0" w:tplc="D9985CCE">
      <w:start w:val="1"/>
      <w:numFmt w:val="decimal"/>
      <w:lvlText w:val="%1."/>
      <w:lvlJc w:val="left"/>
      <w:pPr>
        <w:ind w:left="720" w:hanging="360"/>
      </w:pPr>
    </w:lvl>
    <w:lvl w:ilvl="1" w:tplc="E5883A3C">
      <w:start w:val="1"/>
      <w:numFmt w:val="lowerLetter"/>
      <w:lvlText w:val="%2."/>
      <w:lvlJc w:val="left"/>
      <w:pPr>
        <w:ind w:left="1440" w:hanging="360"/>
      </w:pPr>
    </w:lvl>
    <w:lvl w:ilvl="2" w:tplc="9D426CAC">
      <w:start w:val="1"/>
      <w:numFmt w:val="lowerRoman"/>
      <w:lvlText w:val="%3."/>
      <w:lvlJc w:val="right"/>
      <w:pPr>
        <w:ind w:left="2160" w:hanging="180"/>
      </w:pPr>
    </w:lvl>
    <w:lvl w:ilvl="3" w:tplc="A244B2B2">
      <w:start w:val="1"/>
      <w:numFmt w:val="decimal"/>
      <w:lvlText w:val="%4."/>
      <w:lvlJc w:val="left"/>
      <w:pPr>
        <w:ind w:left="2880" w:hanging="360"/>
      </w:pPr>
    </w:lvl>
    <w:lvl w:ilvl="4" w:tplc="C73AADE8">
      <w:start w:val="1"/>
      <w:numFmt w:val="lowerLetter"/>
      <w:lvlText w:val="%5."/>
      <w:lvlJc w:val="left"/>
      <w:pPr>
        <w:ind w:left="3600" w:hanging="360"/>
      </w:pPr>
    </w:lvl>
    <w:lvl w:ilvl="5" w:tplc="2FEE342A">
      <w:start w:val="1"/>
      <w:numFmt w:val="lowerRoman"/>
      <w:lvlText w:val="%6."/>
      <w:lvlJc w:val="right"/>
      <w:pPr>
        <w:ind w:left="4320" w:hanging="180"/>
      </w:pPr>
    </w:lvl>
    <w:lvl w:ilvl="6" w:tplc="A05A3E9E">
      <w:start w:val="1"/>
      <w:numFmt w:val="decimal"/>
      <w:lvlText w:val="%7."/>
      <w:lvlJc w:val="left"/>
      <w:pPr>
        <w:ind w:left="5040" w:hanging="360"/>
      </w:pPr>
    </w:lvl>
    <w:lvl w:ilvl="7" w:tplc="9EF2326C">
      <w:start w:val="1"/>
      <w:numFmt w:val="lowerLetter"/>
      <w:lvlText w:val="%8."/>
      <w:lvlJc w:val="left"/>
      <w:pPr>
        <w:ind w:left="5760" w:hanging="360"/>
      </w:pPr>
    </w:lvl>
    <w:lvl w:ilvl="8" w:tplc="B3C87872">
      <w:start w:val="1"/>
      <w:numFmt w:val="lowerRoman"/>
      <w:lvlText w:val="%9."/>
      <w:lvlJc w:val="right"/>
      <w:pPr>
        <w:ind w:left="6480" w:hanging="180"/>
      </w:pPr>
    </w:lvl>
  </w:abstractNum>
  <w:abstractNum w:abstractNumId="14" w15:restartNumberingAfterBreak="0">
    <w:nsid w:val="2E386183"/>
    <w:multiLevelType w:val="hybridMultilevel"/>
    <w:tmpl w:val="57D29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77564"/>
    <w:multiLevelType w:val="hybridMultilevel"/>
    <w:tmpl w:val="496E90A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2930CC"/>
    <w:multiLevelType w:val="hybridMultilevel"/>
    <w:tmpl w:val="8974D0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467F7F"/>
    <w:multiLevelType w:val="hybridMultilevel"/>
    <w:tmpl w:val="E168E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95A13"/>
    <w:multiLevelType w:val="hybridMultilevel"/>
    <w:tmpl w:val="251AB8D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EA52DD"/>
    <w:multiLevelType w:val="hybridMultilevel"/>
    <w:tmpl w:val="116CD7C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012AD7"/>
    <w:multiLevelType w:val="hybridMultilevel"/>
    <w:tmpl w:val="475A9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CB11AAD"/>
    <w:multiLevelType w:val="hybridMultilevel"/>
    <w:tmpl w:val="CE8456D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D27387F"/>
    <w:multiLevelType w:val="hybridMultilevel"/>
    <w:tmpl w:val="4A4826A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F1A7C82"/>
    <w:multiLevelType w:val="hybridMultilevel"/>
    <w:tmpl w:val="976EC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98118E"/>
    <w:multiLevelType w:val="hybridMultilevel"/>
    <w:tmpl w:val="452E5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844B71"/>
    <w:multiLevelType w:val="hybridMultilevel"/>
    <w:tmpl w:val="092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72E7A"/>
    <w:multiLevelType w:val="hybridMultilevel"/>
    <w:tmpl w:val="0CFA57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F00AF3"/>
    <w:multiLevelType w:val="hybridMultilevel"/>
    <w:tmpl w:val="02EEE0DE"/>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156BBE"/>
    <w:multiLevelType w:val="multilevel"/>
    <w:tmpl w:val="574A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EA6575"/>
    <w:multiLevelType w:val="hybridMultilevel"/>
    <w:tmpl w:val="2C621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B81D43"/>
    <w:multiLevelType w:val="hybridMultilevel"/>
    <w:tmpl w:val="EBCC7A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8D1628"/>
    <w:multiLevelType w:val="hybridMultilevel"/>
    <w:tmpl w:val="879E429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CC062B"/>
    <w:multiLevelType w:val="multilevel"/>
    <w:tmpl w:val="9238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E653B8"/>
    <w:multiLevelType w:val="hybridMultilevel"/>
    <w:tmpl w:val="B5B44FB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43F58"/>
    <w:multiLevelType w:val="hybridMultilevel"/>
    <w:tmpl w:val="A31C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64F2E"/>
    <w:multiLevelType w:val="hybridMultilevel"/>
    <w:tmpl w:val="2D3A8B8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AAD0B75"/>
    <w:multiLevelType w:val="hybridMultilevel"/>
    <w:tmpl w:val="70747292"/>
    <w:lvl w:ilvl="0" w:tplc="6426A2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6483635">
    <w:abstractNumId w:val="13"/>
  </w:num>
  <w:num w:numId="2" w16cid:durableId="457335315">
    <w:abstractNumId w:val="11"/>
  </w:num>
  <w:num w:numId="3" w16cid:durableId="275868633">
    <w:abstractNumId w:val="14"/>
  </w:num>
  <w:num w:numId="4" w16cid:durableId="614411147">
    <w:abstractNumId w:val="34"/>
  </w:num>
  <w:num w:numId="5" w16cid:durableId="1798331633">
    <w:abstractNumId w:val="25"/>
  </w:num>
  <w:num w:numId="6" w16cid:durableId="1345741940">
    <w:abstractNumId w:val="17"/>
  </w:num>
  <w:num w:numId="7" w16cid:durableId="212274145">
    <w:abstractNumId w:val="1"/>
  </w:num>
  <w:num w:numId="8" w16cid:durableId="44447494">
    <w:abstractNumId w:val="33"/>
  </w:num>
  <w:num w:numId="9" w16cid:durableId="114060973">
    <w:abstractNumId w:val="7"/>
  </w:num>
  <w:num w:numId="10" w16cid:durableId="757168437">
    <w:abstractNumId w:val="2"/>
  </w:num>
  <w:num w:numId="11" w16cid:durableId="659625338">
    <w:abstractNumId w:val="5"/>
  </w:num>
  <w:num w:numId="12" w16cid:durableId="1930194015">
    <w:abstractNumId w:val="12"/>
  </w:num>
  <w:num w:numId="13" w16cid:durableId="1277060920">
    <w:abstractNumId w:val="18"/>
  </w:num>
  <w:num w:numId="14" w16cid:durableId="1345551141">
    <w:abstractNumId w:val="30"/>
  </w:num>
  <w:num w:numId="15" w16cid:durableId="781847152">
    <w:abstractNumId w:val="26"/>
  </w:num>
  <w:num w:numId="16" w16cid:durableId="757604867">
    <w:abstractNumId w:val="27"/>
  </w:num>
  <w:num w:numId="17" w16cid:durableId="634675697">
    <w:abstractNumId w:val="31"/>
  </w:num>
  <w:num w:numId="18" w16cid:durableId="1630161475">
    <w:abstractNumId w:val="15"/>
  </w:num>
  <w:num w:numId="19" w16cid:durableId="12214074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687173">
    <w:abstractNumId w:val="16"/>
  </w:num>
  <w:num w:numId="21" w16cid:durableId="1203831695">
    <w:abstractNumId w:val="20"/>
  </w:num>
  <w:num w:numId="22" w16cid:durableId="1096753933">
    <w:abstractNumId w:val="29"/>
  </w:num>
  <w:num w:numId="23" w16cid:durableId="1704789800">
    <w:abstractNumId w:val="23"/>
  </w:num>
  <w:num w:numId="24" w16cid:durableId="567426831">
    <w:abstractNumId w:val="21"/>
  </w:num>
  <w:num w:numId="25" w16cid:durableId="142700393">
    <w:abstractNumId w:val="8"/>
  </w:num>
  <w:num w:numId="26" w16cid:durableId="788550472">
    <w:abstractNumId w:val="32"/>
  </w:num>
  <w:num w:numId="27" w16cid:durableId="1015499873">
    <w:abstractNumId w:val="28"/>
  </w:num>
  <w:num w:numId="28" w16cid:durableId="537085233">
    <w:abstractNumId w:val="22"/>
  </w:num>
  <w:num w:numId="29" w16cid:durableId="1261255357">
    <w:abstractNumId w:val="35"/>
  </w:num>
  <w:num w:numId="30" w16cid:durableId="622231390">
    <w:abstractNumId w:val="19"/>
  </w:num>
  <w:num w:numId="31" w16cid:durableId="1217354740">
    <w:abstractNumId w:val="3"/>
  </w:num>
  <w:num w:numId="32" w16cid:durableId="1099523059">
    <w:abstractNumId w:val="36"/>
  </w:num>
  <w:num w:numId="33" w16cid:durableId="791092249">
    <w:abstractNumId w:val="4"/>
  </w:num>
  <w:num w:numId="34" w16cid:durableId="1963724690">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8896465">
    <w:abstractNumId w:val="0"/>
  </w:num>
  <w:num w:numId="36" w16cid:durableId="1275946024">
    <w:abstractNumId w:val="9"/>
  </w:num>
  <w:num w:numId="37" w16cid:durableId="1377780451">
    <w:abstractNumId w:val="24"/>
  </w:num>
  <w:num w:numId="38" w16cid:durableId="553658264">
    <w:abstractNumId w:val="6"/>
  </w:num>
  <w:num w:numId="39" w16cid:durableId="309284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BF"/>
    <w:rsid w:val="000001F6"/>
    <w:rsid w:val="000002C0"/>
    <w:rsid w:val="000005D0"/>
    <w:rsid w:val="000011CE"/>
    <w:rsid w:val="00001663"/>
    <w:rsid w:val="00001F42"/>
    <w:rsid w:val="0000223C"/>
    <w:rsid w:val="00002691"/>
    <w:rsid w:val="000028FE"/>
    <w:rsid w:val="00002F75"/>
    <w:rsid w:val="000030B3"/>
    <w:rsid w:val="00003139"/>
    <w:rsid w:val="000034C0"/>
    <w:rsid w:val="00003B52"/>
    <w:rsid w:val="00003E18"/>
    <w:rsid w:val="00004355"/>
    <w:rsid w:val="00004484"/>
    <w:rsid w:val="00004C49"/>
    <w:rsid w:val="00004C75"/>
    <w:rsid w:val="000050F8"/>
    <w:rsid w:val="00006128"/>
    <w:rsid w:val="00006190"/>
    <w:rsid w:val="000065E4"/>
    <w:rsid w:val="0000685F"/>
    <w:rsid w:val="00007A40"/>
    <w:rsid w:val="00007F16"/>
    <w:rsid w:val="00007F81"/>
    <w:rsid w:val="000108A2"/>
    <w:rsid w:val="0001095B"/>
    <w:rsid w:val="000109B9"/>
    <w:rsid w:val="000126DA"/>
    <w:rsid w:val="000128F0"/>
    <w:rsid w:val="000129B0"/>
    <w:rsid w:val="00013299"/>
    <w:rsid w:val="0001438A"/>
    <w:rsid w:val="0001495C"/>
    <w:rsid w:val="00014E20"/>
    <w:rsid w:val="000152AB"/>
    <w:rsid w:val="00015996"/>
    <w:rsid w:val="00015C82"/>
    <w:rsid w:val="00015EA1"/>
    <w:rsid w:val="00022172"/>
    <w:rsid w:val="00022809"/>
    <w:rsid w:val="00022B88"/>
    <w:rsid w:val="00023437"/>
    <w:rsid w:val="00023738"/>
    <w:rsid w:val="00023B67"/>
    <w:rsid w:val="00023F18"/>
    <w:rsid w:val="000243B3"/>
    <w:rsid w:val="00024DFC"/>
    <w:rsid w:val="00024FFE"/>
    <w:rsid w:val="0002518E"/>
    <w:rsid w:val="00025333"/>
    <w:rsid w:val="00025592"/>
    <w:rsid w:val="0002579C"/>
    <w:rsid w:val="00025A59"/>
    <w:rsid w:val="00025DE9"/>
    <w:rsid w:val="000260C7"/>
    <w:rsid w:val="000263AB"/>
    <w:rsid w:val="0002661D"/>
    <w:rsid w:val="00026B88"/>
    <w:rsid w:val="00026E11"/>
    <w:rsid w:val="00026ED0"/>
    <w:rsid w:val="00026FBA"/>
    <w:rsid w:val="00027804"/>
    <w:rsid w:val="0002796A"/>
    <w:rsid w:val="00030373"/>
    <w:rsid w:val="000306C5"/>
    <w:rsid w:val="00030FED"/>
    <w:rsid w:val="00031307"/>
    <w:rsid w:val="00031678"/>
    <w:rsid w:val="0003187A"/>
    <w:rsid w:val="00032839"/>
    <w:rsid w:val="0003321B"/>
    <w:rsid w:val="00033721"/>
    <w:rsid w:val="00034881"/>
    <w:rsid w:val="000348AB"/>
    <w:rsid w:val="00034E50"/>
    <w:rsid w:val="000354D1"/>
    <w:rsid w:val="0003571D"/>
    <w:rsid w:val="00035BAD"/>
    <w:rsid w:val="00035EAC"/>
    <w:rsid w:val="00035FB4"/>
    <w:rsid w:val="00036048"/>
    <w:rsid w:val="00036527"/>
    <w:rsid w:val="0003794D"/>
    <w:rsid w:val="00037FD2"/>
    <w:rsid w:val="000404CC"/>
    <w:rsid w:val="00040784"/>
    <w:rsid w:val="000418FA"/>
    <w:rsid w:val="00041C2E"/>
    <w:rsid w:val="00042049"/>
    <w:rsid w:val="00042A2A"/>
    <w:rsid w:val="00042C15"/>
    <w:rsid w:val="000431CC"/>
    <w:rsid w:val="000432F4"/>
    <w:rsid w:val="00043B04"/>
    <w:rsid w:val="0004456D"/>
    <w:rsid w:val="00044F8D"/>
    <w:rsid w:val="00045A6A"/>
    <w:rsid w:val="00045B90"/>
    <w:rsid w:val="00046765"/>
    <w:rsid w:val="000470C4"/>
    <w:rsid w:val="000472D3"/>
    <w:rsid w:val="00047420"/>
    <w:rsid w:val="00047B3C"/>
    <w:rsid w:val="00047DD2"/>
    <w:rsid w:val="00047E59"/>
    <w:rsid w:val="00047FE0"/>
    <w:rsid w:val="0005019D"/>
    <w:rsid w:val="000518FC"/>
    <w:rsid w:val="00051E96"/>
    <w:rsid w:val="00053012"/>
    <w:rsid w:val="00053BA0"/>
    <w:rsid w:val="00054028"/>
    <w:rsid w:val="000544A6"/>
    <w:rsid w:val="000552EF"/>
    <w:rsid w:val="000556DE"/>
    <w:rsid w:val="000557D5"/>
    <w:rsid w:val="00055C3A"/>
    <w:rsid w:val="0005643D"/>
    <w:rsid w:val="00057B5E"/>
    <w:rsid w:val="0006025A"/>
    <w:rsid w:val="00060431"/>
    <w:rsid w:val="00060FD0"/>
    <w:rsid w:val="0006135B"/>
    <w:rsid w:val="00061621"/>
    <w:rsid w:val="000616D9"/>
    <w:rsid w:val="00061777"/>
    <w:rsid w:val="00061BC1"/>
    <w:rsid w:val="00061D70"/>
    <w:rsid w:val="00061EFD"/>
    <w:rsid w:val="00061EFF"/>
    <w:rsid w:val="00061F21"/>
    <w:rsid w:val="0006202E"/>
    <w:rsid w:val="00064F2E"/>
    <w:rsid w:val="00064F3E"/>
    <w:rsid w:val="00065255"/>
    <w:rsid w:val="0006565A"/>
    <w:rsid w:val="00065D1E"/>
    <w:rsid w:val="00065DCF"/>
    <w:rsid w:val="0006618C"/>
    <w:rsid w:val="000661DB"/>
    <w:rsid w:val="00066255"/>
    <w:rsid w:val="0006685B"/>
    <w:rsid w:val="00067287"/>
    <w:rsid w:val="000675A0"/>
    <w:rsid w:val="0006797F"/>
    <w:rsid w:val="00067B39"/>
    <w:rsid w:val="00070283"/>
    <w:rsid w:val="0007035A"/>
    <w:rsid w:val="000705DC"/>
    <w:rsid w:val="0007077B"/>
    <w:rsid w:val="00070812"/>
    <w:rsid w:val="00070913"/>
    <w:rsid w:val="000712EF"/>
    <w:rsid w:val="00071401"/>
    <w:rsid w:val="0007148E"/>
    <w:rsid w:val="00071557"/>
    <w:rsid w:val="00071BDD"/>
    <w:rsid w:val="00071E5C"/>
    <w:rsid w:val="000722F2"/>
    <w:rsid w:val="00072B86"/>
    <w:rsid w:val="00073143"/>
    <w:rsid w:val="0007330F"/>
    <w:rsid w:val="000746ED"/>
    <w:rsid w:val="00074D72"/>
    <w:rsid w:val="00075CCB"/>
    <w:rsid w:val="00076FAE"/>
    <w:rsid w:val="0007741A"/>
    <w:rsid w:val="00077588"/>
    <w:rsid w:val="00077995"/>
    <w:rsid w:val="00077FE2"/>
    <w:rsid w:val="000801F5"/>
    <w:rsid w:val="00080352"/>
    <w:rsid w:val="00080843"/>
    <w:rsid w:val="000810D0"/>
    <w:rsid w:val="000816B7"/>
    <w:rsid w:val="000818B0"/>
    <w:rsid w:val="00081A80"/>
    <w:rsid w:val="00081B34"/>
    <w:rsid w:val="00081CF7"/>
    <w:rsid w:val="00081DAD"/>
    <w:rsid w:val="00081F3F"/>
    <w:rsid w:val="00081F71"/>
    <w:rsid w:val="00081FA6"/>
    <w:rsid w:val="00081FC6"/>
    <w:rsid w:val="0008284C"/>
    <w:rsid w:val="0008284D"/>
    <w:rsid w:val="00082A34"/>
    <w:rsid w:val="00082E20"/>
    <w:rsid w:val="00083374"/>
    <w:rsid w:val="00083813"/>
    <w:rsid w:val="0008392F"/>
    <w:rsid w:val="00083C85"/>
    <w:rsid w:val="00083F2E"/>
    <w:rsid w:val="00083F8D"/>
    <w:rsid w:val="000841B1"/>
    <w:rsid w:val="000847EE"/>
    <w:rsid w:val="00085146"/>
    <w:rsid w:val="00085F99"/>
    <w:rsid w:val="00086256"/>
    <w:rsid w:val="00086289"/>
    <w:rsid w:val="00086F52"/>
    <w:rsid w:val="00087848"/>
    <w:rsid w:val="00087E17"/>
    <w:rsid w:val="00087E2B"/>
    <w:rsid w:val="00090310"/>
    <w:rsid w:val="00090964"/>
    <w:rsid w:val="00090AB6"/>
    <w:rsid w:val="00091231"/>
    <w:rsid w:val="000912AC"/>
    <w:rsid w:val="000912C4"/>
    <w:rsid w:val="000917A4"/>
    <w:rsid w:val="00091CE9"/>
    <w:rsid w:val="00092446"/>
    <w:rsid w:val="0009268A"/>
    <w:rsid w:val="00092D7B"/>
    <w:rsid w:val="000934E0"/>
    <w:rsid w:val="0009356F"/>
    <w:rsid w:val="00093596"/>
    <w:rsid w:val="000938C9"/>
    <w:rsid w:val="00093A76"/>
    <w:rsid w:val="00093EE0"/>
    <w:rsid w:val="00094004"/>
    <w:rsid w:val="000941AE"/>
    <w:rsid w:val="00094316"/>
    <w:rsid w:val="00094839"/>
    <w:rsid w:val="000949E9"/>
    <w:rsid w:val="00094C52"/>
    <w:rsid w:val="00094D51"/>
    <w:rsid w:val="00094E72"/>
    <w:rsid w:val="00094F1F"/>
    <w:rsid w:val="00095D7A"/>
    <w:rsid w:val="00095F65"/>
    <w:rsid w:val="000967A2"/>
    <w:rsid w:val="00097090"/>
    <w:rsid w:val="00097766"/>
    <w:rsid w:val="000979AE"/>
    <w:rsid w:val="00097FEF"/>
    <w:rsid w:val="000A01EB"/>
    <w:rsid w:val="000A0204"/>
    <w:rsid w:val="000A0833"/>
    <w:rsid w:val="000A125A"/>
    <w:rsid w:val="000A133D"/>
    <w:rsid w:val="000A1354"/>
    <w:rsid w:val="000A13D3"/>
    <w:rsid w:val="000A182C"/>
    <w:rsid w:val="000A19A0"/>
    <w:rsid w:val="000A221A"/>
    <w:rsid w:val="000A3158"/>
    <w:rsid w:val="000A36FB"/>
    <w:rsid w:val="000A3B4F"/>
    <w:rsid w:val="000A3FBD"/>
    <w:rsid w:val="000A50DE"/>
    <w:rsid w:val="000A5F71"/>
    <w:rsid w:val="000A6068"/>
    <w:rsid w:val="000A613A"/>
    <w:rsid w:val="000A625C"/>
    <w:rsid w:val="000A6445"/>
    <w:rsid w:val="000A7111"/>
    <w:rsid w:val="000A72E9"/>
    <w:rsid w:val="000A76E9"/>
    <w:rsid w:val="000A7818"/>
    <w:rsid w:val="000A7B60"/>
    <w:rsid w:val="000A7DC8"/>
    <w:rsid w:val="000A7F76"/>
    <w:rsid w:val="000B09BD"/>
    <w:rsid w:val="000B0E2E"/>
    <w:rsid w:val="000B11A1"/>
    <w:rsid w:val="000B21D8"/>
    <w:rsid w:val="000B224C"/>
    <w:rsid w:val="000B3158"/>
    <w:rsid w:val="000B3DA9"/>
    <w:rsid w:val="000B4505"/>
    <w:rsid w:val="000B4750"/>
    <w:rsid w:val="000B50F5"/>
    <w:rsid w:val="000B59C2"/>
    <w:rsid w:val="000B5A35"/>
    <w:rsid w:val="000B5A84"/>
    <w:rsid w:val="000B5DAC"/>
    <w:rsid w:val="000B60DE"/>
    <w:rsid w:val="000B66B1"/>
    <w:rsid w:val="000B7183"/>
    <w:rsid w:val="000B7249"/>
    <w:rsid w:val="000B7E72"/>
    <w:rsid w:val="000C0BC9"/>
    <w:rsid w:val="000C0DCA"/>
    <w:rsid w:val="000C1FBD"/>
    <w:rsid w:val="000C25A0"/>
    <w:rsid w:val="000C2EF0"/>
    <w:rsid w:val="000C307F"/>
    <w:rsid w:val="000C349D"/>
    <w:rsid w:val="000C3C96"/>
    <w:rsid w:val="000C3E7F"/>
    <w:rsid w:val="000C4159"/>
    <w:rsid w:val="000C47FF"/>
    <w:rsid w:val="000C48C9"/>
    <w:rsid w:val="000C5243"/>
    <w:rsid w:val="000C587D"/>
    <w:rsid w:val="000C5C6E"/>
    <w:rsid w:val="000C5D15"/>
    <w:rsid w:val="000C68A4"/>
    <w:rsid w:val="000C6EB6"/>
    <w:rsid w:val="000C713C"/>
    <w:rsid w:val="000C7967"/>
    <w:rsid w:val="000D0302"/>
    <w:rsid w:val="000D03BC"/>
    <w:rsid w:val="000D0506"/>
    <w:rsid w:val="000D0FAB"/>
    <w:rsid w:val="000D1035"/>
    <w:rsid w:val="000D134E"/>
    <w:rsid w:val="000D15EC"/>
    <w:rsid w:val="000D1FF5"/>
    <w:rsid w:val="000D22F7"/>
    <w:rsid w:val="000D26B2"/>
    <w:rsid w:val="000D2772"/>
    <w:rsid w:val="000D2964"/>
    <w:rsid w:val="000D2F29"/>
    <w:rsid w:val="000D3285"/>
    <w:rsid w:val="000D3310"/>
    <w:rsid w:val="000D349B"/>
    <w:rsid w:val="000D43DE"/>
    <w:rsid w:val="000D4752"/>
    <w:rsid w:val="000D4DBB"/>
    <w:rsid w:val="000D4F5F"/>
    <w:rsid w:val="000D4FDB"/>
    <w:rsid w:val="000D5077"/>
    <w:rsid w:val="000D52FD"/>
    <w:rsid w:val="000D5896"/>
    <w:rsid w:val="000D5C0D"/>
    <w:rsid w:val="000D6FC2"/>
    <w:rsid w:val="000D7003"/>
    <w:rsid w:val="000D72A1"/>
    <w:rsid w:val="000D75A2"/>
    <w:rsid w:val="000D7D96"/>
    <w:rsid w:val="000E00DF"/>
    <w:rsid w:val="000E0176"/>
    <w:rsid w:val="000E0C3C"/>
    <w:rsid w:val="000E11F1"/>
    <w:rsid w:val="000E1CBA"/>
    <w:rsid w:val="000E2C2E"/>
    <w:rsid w:val="000E3132"/>
    <w:rsid w:val="000E39E6"/>
    <w:rsid w:val="000E3BE4"/>
    <w:rsid w:val="000E3DE3"/>
    <w:rsid w:val="000E4070"/>
    <w:rsid w:val="000E422E"/>
    <w:rsid w:val="000E4289"/>
    <w:rsid w:val="000E4627"/>
    <w:rsid w:val="000E47AA"/>
    <w:rsid w:val="000E4B6F"/>
    <w:rsid w:val="000E4C67"/>
    <w:rsid w:val="000E51D2"/>
    <w:rsid w:val="000E52CA"/>
    <w:rsid w:val="000E54F8"/>
    <w:rsid w:val="000E55C1"/>
    <w:rsid w:val="000E6068"/>
    <w:rsid w:val="000E62B2"/>
    <w:rsid w:val="000E7118"/>
    <w:rsid w:val="000E749D"/>
    <w:rsid w:val="000E7690"/>
    <w:rsid w:val="000E77C8"/>
    <w:rsid w:val="000F0119"/>
    <w:rsid w:val="000F0859"/>
    <w:rsid w:val="000F1B3B"/>
    <w:rsid w:val="000F1D48"/>
    <w:rsid w:val="000F2662"/>
    <w:rsid w:val="000F285A"/>
    <w:rsid w:val="000F3027"/>
    <w:rsid w:val="000F32D3"/>
    <w:rsid w:val="000F377F"/>
    <w:rsid w:val="000F3889"/>
    <w:rsid w:val="000F3904"/>
    <w:rsid w:val="000F3997"/>
    <w:rsid w:val="000F3F1B"/>
    <w:rsid w:val="000F3F1F"/>
    <w:rsid w:val="000F46B3"/>
    <w:rsid w:val="000F4747"/>
    <w:rsid w:val="000F48F3"/>
    <w:rsid w:val="000F4935"/>
    <w:rsid w:val="000F4E72"/>
    <w:rsid w:val="000F4EA0"/>
    <w:rsid w:val="000F4F05"/>
    <w:rsid w:val="000F5351"/>
    <w:rsid w:val="000F56A1"/>
    <w:rsid w:val="000F5955"/>
    <w:rsid w:val="000F6500"/>
    <w:rsid w:val="000F6C31"/>
    <w:rsid w:val="000F6D7D"/>
    <w:rsid w:val="000F6F10"/>
    <w:rsid w:val="000F7386"/>
    <w:rsid w:val="000F78B6"/>
    <w:rsid w:val="000F7981"/>
    <w:rsid w:val="000F79CB"/>
    <w:rsid w:val="00100093"/>
    <w:rsid w:val="00100175"/>
    <w:rsid w:val="001002CE"/>
    <w:rsid w:val="0010049E"/>
    <w:rsid w:val="00100AEB"/>
    <w:rsid w:val="00100C99"/>
    <w:rsid w:val="00100F7D"/>
    <w:rsid w:val="001010E3"/>
    <w:rsid w:val="00101133"/>
    <w:rsid w:val="001015BE"/>
    <w:rsid w:val="00101700"/>
    <w:rsid w:val="001018CD"/>
    <w:rsid w:val="00101CC1"/>
    <w:rsid w:val="00101E61"/>
    <w:rsid w:val="00102881"/>
    <w:rsid w:val="00102D5B"/>
    <w:rsid w:val="00102E85"/>
    <w:rsid w:val="001033A4"/>
    <w:rsid w:val="00103AB6"/>
    <w:rsid w:val="00103DF7"/>
    <w:rsid w:val="00103F99"/>
    <w:rsid w:val="0010443F"/>
    <w:rsid w:val="00104B32"/>
    <w:rsid w:val="00104C80"/>
    <w:rsid w:val="00104D3F"/>
    <w:rsid w:val="0010552D"/>
    <w:rsid w:val="00105600"/>
    <w:rsid w:val="00106343"/>
    <w:rsid w:val="00106CFB"/>
    <w:rsid w:val="0010706B"/>
    <w:rsid w:val="001070C8"/>
    <w:rsid w:val="00107CF2"/>
    <w:rsid w:val="0011039E"/>
    <w:rsid w:val="001105AD"/>
    <w:rsid w:val="00110D5C"/>
    <w:rsid w:val="001110E1"/>
    <w:rsid w:val="0011230C"/>
    <w:rsid w:val="00112E0B"/>
    <w:rsid w:val="00113097"/>
    <w:rsid w:val="00113AC0"/>
    <w:rsid w:val="001140F9"/>
    <w:rsid w:val="00114D44"/>
    <w:rsid w:val="00115A94"/>
    <w:rsid w:val="00115BBB"/>
    <w:rsid w:val="001164B4"/>
    <w:rsid w:val="00116850"/>
    <w:rsid w:val="001168AC"/>
    <w:rsid w:val="00116A85"/>
    <w:rsid w:val="00116E5D"/>
    <w:rsid w:val="00116F78"/>
    <w:rsid w:val="001170BF"/>
    <w:rsid w:val="001175D8"/>
    <w:rsid w:val="001200F8"/>
    <w:rsid w:val="00120A5E"/>
    <w:rsid w:val="00120C9A"/>
    <w:rsid w:val="00120D03"/>
    <w:rsid w:val="00120D2E"/>
    <w:rsid w:val="0012100F"/>
    <w:rsid w:val="001213FA"/>
    <w:rsid w:val="001217D6"/>
    <w:rsid w:val="00123B5F"/>
    <w:rsid w:val="0012446A"/>
    <w:rsid w:val="001247F0"/>
    <w:rsid w:val="00124E9D"/>
    <w:rsid w:val="00125586"/>
    <w:rsid w:val="00125725"/>
    <w:rsid w:val="0012627D"/>
    <w:rsid w:val="00126B32"/>
    <w:rsid w:val="00126BA1"/>
    <w:rsid w:val="001274DF"/>
    <w:rsid w:val="0012774B"/>
    <w:rsid w:val="0012778D"/>
    <w:rsid w:val="00127BB7"/>
    <w:rsid w:val="00127D07"/>
    <w:rsid w:val="00130248"/>
    <w:rsid w:val="001308C2"/>
    <w:rsid w:val="001308FF"/>
    <w:rsid w:val="00130D20"/>
    <w:rsid w:val="001310FE"/>
    <w:rsid w:val="00131179"/>
    <w:rsid w:val="001313E2"/>
    <w:rsid w:val="0013151F"/>
    <w:rsid w:val="00131A02"/>
    <w:rsid w:val="00131E10"/>
    <w:rsid w:val="001321AC"/>
    <w:rsid w:val="00132469"/>
    <w:rsid w:val="0013287B"/>
    <w:rsid w:val="00132C7F"/>
    <w:rsid w:val="00132FB1"/>
    <w:rsid w:val="0013322A"/>
    <w:rsid w:val="00133D72"/>
    <w:rsid w:val="00134A88"/>
    <w:rsid w:val="00135313"/>
    <w:rsid w:val="00135365"/>
    <w:rsid w:val="00135430"/>
    <w:rsid w:val="001354D9"/>
    <w:rsid w:val="00135621"/>
    <w:rsid w:val="00135DCE"/>
    <w:rsid w:val="00136008"/>
    <w:rsid w:val="0013633A"/>
    <w:rsid w:val="00136573"/>
    <w:rsid w:val="001369EC"/>
    <w:rsid w:val="0013700F"/>
    <w:rsid w:val="00137269"/>
    <w:rsid w:val="0013787B"/>
    <w:rsid w:val="00140FB3"/>
    <w:rsid w:val="001410A7"/>
    <w:rsid w:val="001418D4"/>
    <w:rsid w:val="00141C01"/>
    <w:rsid w:val="0014226E"/>
    <w:rsid w:val="001425CC"/>
    <w:rsid w:val="00142A05"/>
    <w:rsid w:val="00142FC2"/>
    <w:rsid w:val="00143305"/>
    <w:rsid w:val="0014376B"/>
    <w:rsid w:val="001439D1"/>
    <w:rsid w:val="00143AEA"/>
    <w:rsid w:val="00144468"/>
    <w:rsid w:val="001446F7"/>
    <w:rsid w:val="0014478A"/>
    <w:rsid w:val="00144EC5"/>
    <w:rsid w:val="0014508A"/>
    <w:rsid w:val="001452CF"/>
    <w:rsid w:val="0014565D"/>
    <w:rsid w:val="001456B5"/>
    <w:rsid w:val="00145A82"/>
    <w:rsid w:val="00145DB6"/>
    <w:rsid w:val="00146A88"/>
    <w:rsid w:val="00147571"/>
    <w:rsid w:val="0014794F"/>
    <w:rsid w:val="00150135"/>
    <w:rsid w:val="00150FC6"/>
    <w:rsid w:val="00151085"/>
    <w:rsid w:val="00151196"/>
    <w:rsid w:val="001517E2"/>
    <w:rsid w:val="00151845"/>
    <w:rsid w:val="00151A16"/>
    <w:rsid w:val="00151DAA"/>
    <w:rsid w:val="00152395"/>
    <w:rsid w:val="0015271E"/>
    <w:rsid w:val="001527FD"/>
    <w:rsid w:val="00152ADC"/>
    <w:rsid w:val="00153295"/>
    <w:rsid w:val="00153AA6"/>
    <w:rsid w:val="001542FC"/>
    <w:rsid w:val="00154407"/>
    <w:rsid w:val="00154889"/>
    <w:rsid w:val="00154F4F"/>
    <w:rsid w:val="0015512D"/>
    <w:rsid w:val="001559D4"/>
    <w:rsid w:val="00155D3C"/>
    <w:rsid w:val="00155D57"/>
    <w:rsid w:val="001573CB"/>
    <w:rsid w:val="00157F78"/>
    <w:rsid w:val="00157F86"/>
    <w:rsid w:val="0016020F"/>
    <w:rsid w:val="0016055E"/>
    <w:rsid w:val="001605FF"/>
    <w:rsid w:val="001621C2"/>
    <w:rsid w:val="001625C7"/>
    <w:rsid w:val="001625E9"/>
    <w:rsid w:val="00162930"/>
    <w:rsid w:val="0016302D"/>
    <w:rsid w:val="001630B5"/>
    <w:rsid w:val="001633BB"/>
    <w:rsid w:val="0016399C"/>
    <w:rsid w:val="00164C99"/>
    <w:rsid w:val="001654EB"/>
    <w:rsid w:val="0016588A"/>
    <w:rsid w:val="00165B96"/>
    <w:rsid w:val="00166F00"/>
    <w:rsid w:val="00167085"/>
    <w:rsid w:val="00170091"/>
    <w:rsid w:val="001703F4"/>
    <w:rsid w:val="00170407"/>
    <w:rsid w:val="00170447"/>
    <w:rsid w:val="001704B8"/>
    <w:rsid w:val="00170E2A"/>
    <w:rsid w:val="001711C5"/>
    <w:rsid w:val="00171A70"/>
    <w:rsid w:val="00171CFF"/>
    <w:rsid w:val="0017267C"/>
    <w:rsid w:val="00172C20"/>
    <w:rsid w:val="00172E2E"/>
    <w:rsid w:val="0017329C"/>
    <w:rsid w:val="001732BA"/>
    <w:rsid w:val="001733C4"/>
    <w:rsid w:val="00173880"/>
    <w:rsid w:val="001748CA"/>
    <w:rsid w:val="00174FA1"/>
    <w:rsid w:val="00175559"/>
    <w:rsid w:val="001757A2"/>
    <w:rsid w:val="00175902"/>
    <w:rsid w:val="001759DA"/>
    <w:rsid w:val="00175BB8"/>
    <w:rsid w:val="00175E68"/>
    <w:rsid w:val="00176760"/>
    <w:rsid w:val="00177038"/>
    <w:rsid w:val="0017723E"/>
    <w:rsid w:val="001772DB"/>
    <w:rsid w:val="001805A4"/>
    <w:rsid w:val="00180745"/>
    <w:rsid w:val="00180869"/>
    <w:rsid w:val="00180DBC"/>
    <w:rsid w:val="00181373"/>
    <w:rsid w:val="001818FB"/>
    <w:rsid w:val="0018223D"/>
    <w:rsid w:val="00182285"/>
    <w:rsid w:val="001822D0"/>
    <w:rsid w:val="0018248B"/>
    <w:rsid w:val="00182644"/>
    <w:rsid w:val="00182800"/>
    <w:rsid w:val="00182CB9"/>
    <w:rsid w:val="00182E7C"/>
    <w:rsid w:val="00182FFE"/>
    <w:rsid w:val="00183BC3"/>
    <w:rsid w:val="00183D75"/>
    <w:rsid w:val="001842E2"/>
    <w:rsid w:val="0018433D"/>
    <w:rsid w:val="001843BD"/>
    <w:rsid w:val="00184B55"/>
    <w:rsid w:val="001863E6"/>
    <w:rsid w:val="00186409"/>
    <w:rsid w:val="00186B9A"/>
    <w:rsid w:val="00186EE6"/>
    <w:rsid w:val="00186F76"/>
    <w:rsid w:val="00190E95"/>
    <w:rsid w:val="00190EB9"/>
    <w:rsid w:val="001910DC"/>
    <w:rsid w:val="00191115"/>
    <w:rsid w:val="00191133"/>
    <w:rsid w:val="0019162F"/>
    <w:rsid w:val="0019177A"/>
    <w:rsid w:val="00191BFC"/>
    <w:rsid w:val="00191CEF"/>
    <w:rsid w:val="00191F48"/>
    <w:rsid w:val="00191FE3"/>
    <w:rsid w:val="001920A8"/>
    <w:rsid w:val="001923C7"/>
    <w:rsid w:val="0019259C"/>
    <w:rsid w:val="00192EF0"/>
    <w:rsid w:val="00193593"/>
    <w:rsid w:val="00193A93"/>
    <w:rsid w:val="00193E24"/>
    <w:rsid w:val="00194469"/>
    <w:rsid w:val="00194544"/>
    <w:rsid w:val="00194558"/>
    <w:rsid w:val="00194696"/>
    <w:rsid w:val="001961F9"/>
    <w:rsid w:val="001968CB"/>
    <w:rsid w:val="0019698E"/>
    <w:rsid w:val="00196A1D"/>
    <w:rsid w:val="00196CF4"/>
    <w:rsid w:val="00196E2B"/>
    <w:rsid w:val="00197ACE"/>
    <w:rsid w:val="00197C44"/>
    <w:rsid w:val="001A02F0"/>
    <w:rsid w:val="001A0611"/>
    <w:rsid w:val="001A07AC"/>
    <w:rsid w:val="001A0CFF"/>
    <w:rsid w:val="001A0D27"/>
    <w:rsid w:val="001A1508"/>
    <w:rsid w:val="001A194E"/>
    <w:rsid w:val="001A1E43"/>
    <w:rsid w:val="001A20AD"/>
    <w:rsid w:val="001A275D"/>
    <w:rsid w:val="001A4120"/>
    <w:rsid w:val="001A4543"/>
    <w:rsid w:val="001A47B7"/>
    <w:rsid w:val="001A4943"/>
    <w:rsid w:val="001A5300"/>
    <w:rsid w:val="001A59F6"/>
    <w:rsid w:val="001A5AB5"/>
    <w:rsid w:val="001A5E9C"/>
    <w:rsid w:val="001A6283"/>
    <w:rsid w:val="001A6286"/>
    <w:rsid w:val="001A6381"/>
    <w:rsid w:val="001A67F6"/>
    <w:rsid w:val="001A6A10"/>
    <w:rsid w:val="001A6BC7"/>
    <w:rsid w:val="001A7019"/>
    <w:rsid w:val="001A7255"/>
    <w:rsid w:val="001A72C9"/>
    <w:rsid w:val="001A757D"/>
    <w:rsid w:val="001A75DC"/>
    <w:rsid w:val="001B0312"/>
    <w:rsid w:val="001B052D"/>
    <w:rsid w:val="001B0756"/>
    <w:rsid w:val="001B0E2E"/>
    <w:rsid w:val="001B1345"/>
    <w:rsid w:val="001B17A4"/>
    <w:rsid w:val="001B1C82"/>
    <w:rsid w:val="001B1EAB"/>
    <w:rsid w:val="001B2097"/>
    <w:rsid w:val="001B2122"/>
    <w:rsid w:val="001B22BA"/>
    <w:rsid w:val="001B2485"/>
    <w:rsid w:val="001B26DE"/>
    <w:rsid w:val="001B27FC"/>
    <w:rsid w:val="001B2848"/>
    <w:rsid w:val="001B3517"/>
    <w:rsid w:val="001B3FB2"/>
    <w:rsid w:val="001B407A"/>
    <w:rsid w:val="001B560F"/>
    <w:rsid w:val="001B5645"/>
    <w:rsid w:val="001B5C3E"/>
    <w:rsid w:val="001B5C48"/>
    <w:rsid w:val="001B5F49"/>
    <w:rsid w:val="001B607A"/>
    <w:rsid w:val="001B61DE"/>
    <w:rsid w:val="001B7909"/>
    <w:rsid w:val="001B79A2"/>
    <w:rsid w:val="001B7AB3"/>
    <w:rsid w:val="001B7F7C"/>
    <w:rsid w:val="001C0091"/>
    <w:rsid w:val="001C07C6"/>
    <w:rsid w:val="001C0DB7"/>
    <w:rsid w:val="001C107E"/>
    <w:rsid w:val="001C11AC"/>
    <w:rsid w:val="001C12EE"/>
    <w:rsid w:val="001C142D"/>
    <w:rsid w:val="001C1BCB"/>
    <w:rsid w:val="001C1FBA"/>
    <w:rsid w:val="001C2CD7"/>
    <w:rsid w:val="001C40EE"/>
    <w:rsid w:val="001C41CB"/>
    <w:rsid w:val="001C51E2"/>
    <w:rsid w:val="001C5547"/>
    <w:rsid w:val="001C5605"/>
    <w:rsid w:val="001C59D2"/>
    <w:rsid w:val="001C5B1C"/>
    <w:rsid w:val="001C5BC8"/>
    <w:rsid w:val="001C607F"/>
    <w:rsid w:val="001C641B"/>
    <w:rsid w:val="001C6E4B"/>
    <w:rsid w:val="001C6FD1"/>
    <w:rsid w:val="001C7641"/>
    <w:rsid w:val="001C7816"/>
    <w:rsid w:val="001D08A8"/>
    <w:rsid w:val="001D0945"/>
    <w:rsid w:val="001D0957"/>
    <w:rsid w:val="001D0CAE"/>
    <w:rsid w:val="001D10AB"/>
    <w:rsid w:val="001D1574"/>
    <w:rsid w:val="001D196D"/>
    <w:rsid w:val="001D1A8C"/>
    <w:rsid w:val="001D1D13"/>
    <w:rsid w:val="001D1E14"/>
    <w:rsid w:val="001D20FB"/>
    <w:rsid w:val="001D2520"/>
    <w:rsid w:val="001D3B6B"/>
    <w:rsid w:val="001D4A3E"/>
    <w:rsid w:val="001D4A6C"/>
    <w:rsid w:val="001D5151"/>
    <w:rsid w:val="001D5D20"/>
    <w:rsid w:val="001D6084"/>
    <w:rsid w:val="001D631C"/>
    <w:rsid w:val="001D65D2"/>
    <w:rsid w:val="001D6BB1"/>
    <w:rsid w:val="001D6BC6"/>
    <w:rsid w:val="001D70D6"/>
    <w:rsid w:val="001D780A"/>
    <w:rsid w:val="001D79C0"/>
    <w:rsid w:val="001D7C7C"/>
    <w:rsid w:val="001D7C92"/>
    <w:rsid w:val="001E04CE"/>
    <w:rsid w:val="001E0589"/>
    <w:rsid w:val="001E0595"/>
    <w:rsid w:val="001E07B7"/>
    <w:rsid w:val="001E0FF6"/>
    <w:rsid w:val="001E1A35"/>
    <w:rsid w:val="001E1B8D"/>
    <w:rsid w:val="001E1D4C"/>
    <w:rsid w:val="001E1D79"/>
    <w:rsid w:val="001E25ED"/>
    <w:rsid w:val="001E274E"/>
    <w:rsid w:val="001E27A7"/>
    <w:rsid w:val="001E27D3"/>
    <w:rsid w:val="001E2997"/>
    <w:rsid w:val="001E2BA8"/>
    <w:rsid w:val="001E2D4B"/>
    <w:rsid w:val="001E32D5"/>
    <w:rsid w:val="001E3AC6"/>
    <w:rsid w:val="001E3AFD"/>
    <w:rsid w:val="001E3B60"/>
    <w:rsid w:val="001E3E89"/>
    <w:rsid w:val="001E3E8D"/>
    <w:rsid w:val="001E4513"/>
    <w:rsid w:val="001E4A07"/>
    <w:rsid w:val="001E4A9C"/>
    <w:rsid w:val="001E4EFF"/>
    <w:rsid w:val="001E4F40"/>
    <w:rsid w:val="001E54E5"/>
    <w:rsid w:val="001E5624"/>
    <w:rsid w:val="001E565B"/>
    <w:rsid w:val="001E5867"/>
    <w:rsid w:val="001E5D51"/>
    <w:rsid w:val="001E5DDA"/>
    <w:rsid w:val="001E75D1"/>
    <w:rsid w:val="001F0DE6"/>
    <w:rsid w:val="001F18C9"/>
    <w:rsid w:val="001F2DFA"/>
    <w:rsid w:val="001F305F"/>
    <w:rsid w:val="001F338D"/>
    <w:rsid w:val="001F34A4"/>
    <w:rsid w:val="001F3C01"/>
    <w:rsid w:val="001F3FFF"/>
    <w:rsid w:val="001F42BA"/>
    <w:rsid w:val="001F46DA"/>
    <w:rsid w:val="001F4D85"/>
    <w:rsid w:val="001F4DE8"/>
    <w:rsid w:val="001F4FB4"/>
    <w:rsid w:val="001F50FD"/>
    <w:rsid w:val="001F51AE"/>
    <w:rsid w:val="001F545B"/>
    <w:rsid w:val="001F71C0"/>
    <w:rsid w:val="0020018B"/>
    <w:rsid w:val="00200C7A"/>
    <w:rsid w:val="00201273"/>
    <w:rsid w:val="0020143C"/>
    <w:rsid w:val="00202A5C"/>
    <w:rsid w:val="00203A4A"/>
    <w:rsid w:val="00203AB2"/>
    <w:rsid w:val="00203BA3"/>
    <w:rsid w:val="00204367"/>
    <w:rsid w:val="002048D1"/>
    <w:rsid w:val="00204E42"/>
    <w:rsid w:val="00204EE6"/>
    <w:rsid w:val="00205107"/>
    <w:rsid w:val="00205624"/>
    <w:rsid w:val="002057F7"/>
    <w:rsid w:val="00205BC9"/>
    <w:rsid w:val="0020643D"/>
    <w:rsid w:val="0020661D"/>
    <w:rsid w:val="0020729E"/>
    <w:rsid w:val="0020761C"/>
    <w:rsid w:val="00207FBA"/>
    <w:rsid w:val="00210168"/>
    <w:rsid w:val="00210496"/>
    <w:rsid w:val="002107DE"/>
    <w:rsid w:val="0021097F"/>
    <w:rsid w:val="00210AFB"/>
    <w:rsid w:val="00210B3C"/>
    <w:rsid w:val="0021169A"/>
    <w:rsid w:val="00211CD3"/>
    <w:rsid w:val="00211D02"/>
    <w:rsid w:val="002127EE"/>
    <w:rsid w:val="00212813"/>
    <w:rsid w:val="0021282B"/>
    <w:rsid w:val="00212A20"/>
    <w:rsid w:val="00212B59"/>
    <w:rsid w:val="00212F19"/>
    <w:rsid w:val="002139D2"/>
    <w:rsid w:val="00213A80"/>
    <w:rsid w:val="00214025"/>
    <w:rsid w:val="00214040"/>
    <w:rsid w:val="00214AB7"/>
    <w:rsid w:val="00215714"/>
    <w:rsid w:val="0021588E"/>
    <w:rsid w:val="0021630F"/>
    <w:rsid w:val="00216A89"/>
    <w:rsid w:val="00216B64"/>
    <w:rsid w:val="00216CF1"/>
    <w:rsid w:val="00216F18"/>
    <w:rsid w:val="00217027"/>
    <w:rsid w:val="00217F4B"/>
    <w:rsid w:val="00220277"/>
    <w:rsid w:val="002210A2"/>
    <w:rsid w:val="002220CD"/>
    <w:rsid w:val="002222F0"/>
    <w:rsid w:val="002224A1"/>
    <w:rsid w:val="0022281E"/>
    <w:rsid w:val="00222B8B"/>
    <w:rsid w:val="00223668"/>
    <w:rsid w:val="002236F5"/>
    <w:rsid w:val="00223935"/>
    <w:rsid w:val="0022402E"/>
    <w:rsid w:val="00224142"/>
    <w:rsid w:val="0022441D"/>
    <w:rsid w:val="00224643"/>
    <w:rsid w:val="002249C3"/>
    <w:rsid w:val="00226A84"/>
    <w:rsid w:val="00226F18"/>
    <w:rsid w:val="00227AA9"/>
    <w:rsid w:val="00227B8A"/>
    <w:rsid w:val="00230061"/>
    <w:rsid w:val="0023019C"/>
    <w:rsid w:val="002309A8"/>
    <w:rsid w:val="00230BCF"/>
    <w:rsid w:val="00230C64"/>
    <w:rsid w:val="00230FB0"/>
    <w:rsid w:val="00231175"/>
    <w:rsid w:val="00231A92"/>
    <w:rsid w:val="00231E90"/>
    <w:rsid w:val="00232215"/>
    <w:rsid w:val="002323A4"/>
    <w:rsid w:val="002329A9"/>
    <w:rsid w:val="00232A8E"/>
    <w:rsid w:val="00232CBC"/>
    <w:rsid w:val="002332AD"/>
    <w:rsid w:val="002335E5"/>
    <w:rsid w:val="00234080"/>
    <w:rsid w:val="002347C3"/>
    <w:rsid w:val="00234956"/>
    <w:rsid w:val="00234ABC"/>
    <w:rsid w:val="002350D1"/>
    <w:rsid w:val="00235A4F"/>
    <w:rsid w:val="00235E59"/>
    <w:rsid w:val="00235FF6"/>
    <w:rsid w:val="00236483"/>
    <w:rsid w:val="00236496"/>
    <w:rsid w:val="0023678C"/>
    <w:rsid w:val="0023690F"/>
    <w:rsid w:val="00236D13"/>
    <w:rsid w:val="00236EFE"/>
    <w:rsid w:val="002370AE"/>
    <w:rsid w:val="00237993"/>
    <w:rsid w:val="00237A0E"/>
    <w:rsid w:val="002404A7"/>
    <w:rsid w:val="0024056A"/>
    <w:rsid w:val="0024104F"/>
    <w:rsid w:val="002410DD"/>
    <w:rsid w:val="00241EA3"/>
    <w:rsid w:val="00241F76"/>
    <w:rsid w:val="00241FD6"/>
    <w:rsid w:val="00242088"/>
    <w:rsid w:val="00242438"/>
    <w:rsid w:val="0024263D"/>
    <w:rsid w:val="00242AF2"/>
    <w:rsid w:val="00242C0D"/>
    <w:rsid w:val="0024314D"/>
    <w:rsid w:val="002434CD"/>
    <w:rsid w:val="00243518"/>
    <w:rsid w:val="00243B6B"/>
    <w:rsid w:val="00244590"/>
    <w:rsid w:val="002446BA"/>
    <w:rsid w:val="002446D6"/>
    <w:rsid w:val="00244711"/>
    <w:rsid w:val="00244ADC"/>
    <w:rsid w:val="00244D9E"/>
    <w:rsid w:val="00244F1D"/>
    <w:rsid w:val="00244FA7"/>
    <w:rsid w:val="00246086"/>
    <w:rsid w:val="00246F09"/>
    <w:rsid w:val="00246F2F"/>
    <w:rsid w:val="00247533"/>
    <w:rsid w:val="00247668"/>
    <w:rsid w:val="00250579"/>
    <w:rsid w:val="002509BF"/>
    <w:rsid w:val="00250A0D"/>
    <w:rsid w:val="00250A97"/>
    <w:rsid w:val="00250DF7"/>
    <w:rsid w:val="002512AE"/>
    <w:rsid w:val="00251942"/>
    <w:rsid w:val="00251A6E"/>
    <w:rsid w:val="00251EEB"/>
    <w:rsid w:val="00251FBA"/>
    <w:rsid w:val="0025256D"/>
    <w:rsid w:val="00252A35"/>
    <w:rsid w:val="002531D9"/>
    <w:rsid w:val="0025351B"/>
    <w:rsid w:val="00253541"/>
    <w:rsid w:val="00253CE1"/>
    <w:rsid w:val="00253D58"/>
    <w:rsid w:val="00253ED2"/>
    <w:rsid w:val="00253F77"/>
    <w:rsid w:val="002540E3"/>
    <w:rsid w:val="00254181"/>
    <w:rsid w:val="002544B1"/>
    <w:rsid w:val="002544BA"/>
    <w:rsid w:val="00254551"/>
    <w:rsid w:val="00254A0B"/>
    <w:rsid w:val="00254B65"/>
    <w:rsid w:val="00254CC5"/>
    <w:rsid w:val="00254EFF"/>
    <w:rsid w:val="002569C3"/>
    <w:rsid w:val="00257167"/>
    <w:rsid w:val="00260153"/>
    <w:rsid w:val="0026035C"/>
    <w:rsid w:val="00260503"/>
    <w:rsid w:val="00260564"/>
    <w:rsid w:val="00260581"/>
    <w:rsid w:val="00260627"/>
    <w:rsid w:val="00260BDE"/>
    <w:rsid w:val="0026127E"/>
    <w:rsid w:val="00261778"/>
    <w:rsid w:val="00261CB3"/>
    <w:rsid w:val="00261F6A"/>
    <w:rsid w:val="00262590"/>
    <w:rsid w:val="002626A5"/>
    <w:rsid w:val="0026277E"/>
    <w:rsid w:val="00262ED0"/>
    <w:rsid w:val="00263E38"/>
    <w:rsid w:val="00264B34"/>
    <w:rsid w:val="00264F8C"/>
    <w:rsid w:val="0026521F"/>
    <w:rsid w:val="002652C8"/>
    <w:rsid w:val="00265300"/>
    <w:rsid w:val="002654CC"/>
    <w:rsid w:val="00265546"/>
    <w:rsid w:val="00265753"/>
    <w:rsid w:val="00266F4A"/>
    <w:rsid w:val="00267305"/>
    <w:rsid w:val="00267552"/>
    <w:rsid w:val="002677D9"/>
    <w:rsid w:val="00267B47"/>
    <w:rsid w:val="00267D3C"/>
    <w:rsid w:val="00270468"/>
    <w:rsid w:val="00270D66"/>
    <w:rsid w:val="0027131A"/>
    <w:rsid w:val="0027142D"/>
    <w:rsid w:val="00271550"/>
    <w:rsid w:val="002715A0"/>
    <w:rsid w:val="00271D59"/>
    <w:rsid w:val="00271EBB"/>
    <w:rsid w:val="00272D44"/>
    <w:rsid w:val="00272D4F"/>
    <w:rsid w:val="00274055"/>
    <w:rsid w:val="002743A5"/>
    <w:rsid w:val="002744C0"/>
    <w:rsid w:val="00274912"/>
    <w:rsid w:val="00274B2D"/>
    <w:rsid w:val="00274E4E"/>
    <w:rsid w:val="00275F93"/>
    <w:rsid w:val="00275FF9"/>
    <w:rsid w:val="00276638"/>
    <w:rsid w:val="002772B3"/>
    <w:rsid w:val="002778E2"/>
    <w:rsid w:val="0028010F"/>
    <w:rsid w:val="002811F0"/>
    <w:rsid w:val="00281932"/>
    <w:rsid w:val="00282A0A"/>
    <w:rsid w:val="0028355B"/>
    <w:rsid w:val="002838ED"/>
    <w:rsid w:val="00283F4B"/>
    <w:rsid w:val="00283F4C"/>
    <w:rsid w:val="00284EB4"/>
    <w:rsid w:val="00285099"/>
    <w:rsid w:val="0028515B"/>
    <w:rsid w:val="0028515F"/>
    <w:rsid w:val="00285578"/>
    <w:rsid w:val="00285664"/>
    <w:rsid w:val="0028585C"/>
    <w:rsid w:val="002867D6"/>
    <w:rsid w:val="0028711A"/>
    <w:rsid w:val="00287293"/>
    <w:rsid w:val="00287B2C"/>
    <w:rsid w:val="0029029D"/>
    <w:rsid w:val="002903C5"/>
    <w:rsid w:val="00290615"/>
    <w:rsid w:val="002906EC"/>
    <w:rsid w:val="00290722"/>
    <w:rsid w:val="0029095D"/>
    <w:rsid w:val="00290A6C"/>
    <w:rsid w:val="00290E02"/>
    <w:rsid w:val="002913F9"/>
    <w:rsid w:val="002915C8"/>
    <w:rsid w:val="00291A24"/>
    <w:rsid w:val="00291A74"/>
    <w:rsid w:val="00291B36"/>
    <w:rsid w:val="0029214A"/>
    <w:rsid w:val="00292982"/>
    <w:rsid w:val="00292CF5"/>
    <w:rsid w:val="00293823"/>
    <w:rsid w:val="00294601"/>
    <w:rsid w:val="00294CE7"/>
    <w:rsid w:val="00295292"/>
    <w:rsid w:val="00295424"/>
    <w:rsid w:val="00295A4C"/>
    <w:rsid w:val="00295AFA"/>
    <w:rsid w:val="00295B5D"/>
    <w:rsid w:val="00296109"/>
    <w:rsid w:val="00296244"/>
    <w:rsid w:val="00296639"/>
    <w:rsid w:val="00297506"/>
    <w:rsid w:val="00297BCA"/>
    <w:rsid w:val="002A0353"/>
    <w:rsid w:val="002A03DD"/>
    <w:rsid w:val="002A083E"/>
    <w:rsid w:val="002A0E1E"/>
    <w:rsid w:val="002A0E26"/>
    <w:rsid w:val="002A0E98"/>
    <w:rsid w:val="002A1EB6"/>
    <w:rsid w:val="002A25A5"/>
    <w:rsid w:val="002A2C68"/>
    <w:rsid w:val="002A316F"/>
    <w:rsid w:val="002A395A"/>
    <w:rsid w:val="002A3BC6"/>
    <w:rsid w:val="002A3C96"/>
    <w:rsid w:val="002A4405"/>
    <w:rsid w:val="002A49E6"/>
    <w:rsid w:val="002A5415"/>
    <w:rsid w:val="002A59A7"/>
    <w:rsid w:val="002A6055"/>
    <w:rsid w:val="002A60B1"/>
    <w:rsid w:val="002A654C"/>
    <w:rsid w:val="002A6780"/>
    <w:rsid w:val="002A769B"/>
    <w:rsid w:val="002A7B59"/>
    <w:rsid w:val="002A7F9F"/>
    <w:rsid w:val="002B0016"/>
    <w:rsid w:val="002B0048"/>
    <w:rsid w:val="002B064B"/>
    <w:rsid w:val="002B0B02"/>
    <w:rsid w:val="002B128B"/>
    <w:rsid w:val="002B15E6"/>
    <w:rsid w:val="002B168E"/>
    <w:rsid w:val="002B174D"/>
    <w:rsid w:val="002B210A"/>
    <w:rsid w:val="002B22B8"/>
    <w:rsid w:val="002B2690"/>
    <w:rsid w:val="002B2C0A"/>
    <w:rsid w:val="002B3198"/>
    <w:rsid w:val="002B3B3C"/>
    <w:rsid w:val="002B413A"/>
    <w:rsid w:val="002B439D"/>
    <w:rsid w:val="002B4791"/>
    <w:rsid w:val="002B489E"/>
    <w:rsid w:val="002B521A"/>
    <w:rsid w:val="002B5314"/>
    <w:rsid w:val="002B5780"/>
    <w:rsid w:val="002B6930"/>
    <w:rsid w:val="002B6A8F"/>
    <w:rsid w:val="002B6EEB"/>
    <w:rsid w:val="002B7164"/>
    <w:rsid w:val="002B78CA"/>
    <w:rsid w:val="002B7B17"/>
    <w:rsid w:val="002C0431"/>
    <w:rsid w:val="002C0E23"/>
    <w:rsid w:val="002C108D"/>
    <w:rsid w:val="002C1849"/>
    <w:rsid w:val="002C18C8"/>
    <w:rsid w:val="002C1A5F"/>
    <w:rsid w:val="002C2F7F"/>
    <w:rsid w:val="002C35A7"/>
    <w:rsid w:val="002C35DD"/>
    <w:rsid w:val="002C39EA"/>
    <w:rsid w:val="002C3D5C"/>
    <w:rsid w:val="002C3DB4"/>
    <w:rsid w:val="002C3FA4"/>
    <w:rsid w:val="002C4184"/>
    <w:rsid w:val="002C4CE0"/>
    <w:rsid w:val="002C5999"/>
    <w:rsid w:val="002C5BD2"/>
    <w:rsid w:val="002C6405"/>
    <w:rsid w:val="002C6559"/>
    <w:rsid w:val="002C72D4"/>
    <w:rsid w:val="002C78DA"/>
    <w:rsid w:val="002D00EB"/>
    <w:rsid w:val="002D06DB"/>
    <w:rsid w:val="002D0CA1"/>
    <w:rsid w:val="002D13E1"/>
    <w:rsid w:val="002D1972"/>
    <w:rsid w:val="002D2468"/>
    <w:rsid w:val="002D2781"/>
    <w:rsid w:val="002D2843"/>
    <w:rsid w:val="002D2DFB"/>
    <w:rsid w:val="002D2EA5"/>
    <w:rsid w:val="002D2EA9"/>
    <w:rsid w:val="002D300C"/>
    <w:rsid w:val="002D3A40"/>
    <w:rsid w:val="002D3AF2"/>
    <w:rsid w:val="002D3B9E"/>
    <w:rsid w:val="002D3C46"/>
    <w:rsid w:val="002D4B41"/>
    <w:rsid w:val="002D5256"/>
    <w:rsid w:val="002D5606"/>
    <w:rsid w:val="002D5DBA"/>
    <w:rsid w:val="002D6084"/>
    <w:rsid w:val="002D613E"/>
    <w:rsid w:val="002D671A"/>
    <w:rsid w:val="002D6741"/>
    <w:rsid w:val="002D6AB6"/>
    <w:rsid w:val="002D73BE"/>
    <w:rsid w:val="002D75F4"/>
    <w:rsid w:val="002D7779"/>
    <w:rsid w:val="002D7D9A"/>
    <w:rsid w:val="002E00ED"/>
    <w:rsid w:val="002E0433"/>
    <w:rsid w:val="002E0712"/>
    <w:rsid w:val="002E0D52"/>
    <w:rsid w:val="002E0E21"/>
    <w:rsid w:val="002E20E4"/>
    <w:rsid w:val="002E28D1"/>
    <w:rsid w:val="002E2FE1"/>
    <w:rsid w:val="002E31B5"/>
    <w:rsid w:val="002E488C"/>
    <w:rsid w:val="002E4D19"/>
    <w:rsid w:val="002E57AB"/>
    <w:rsid w:val="002E5CD5"/>
    <w:rsid w:val="002E6336"/>
    <w:rsid w:val="002E65EA"/>
    <w:rsid w:val="002E6A2A"/>
    <w:rsid w:val="002E6D47"/>
    <w:rsid w:val="002E6F1B"/>
    <w:rsid w:val="002E71F1"/>
    <w:rsid w:val="002E7211"/>
    <w:rsid w:val="002E74B7"/>
    <w:rsid w:val="002E7DE4"/>
    <w:rsid w:val="002F0EDE"/>
    <w:rsid w:val="002F1263"/>
    <w:rsid w:val="002F179A"/>
    <w:rsid w:val="002F1908"/>
    <w:rsid w:val="002F1917"/>
    <w:rsid w:val="002F1A86"/>
    <w:rsid w:val="002F1AF5"/>
    <w:rsid w:val="002F1BCB"/>
    <w:rsid w:val="002F242C"/>
    <w:rsid w:val="002F2B63"/>
    <w:rsid w:val="002F3690"/>
    <w:rsid w:val="002F382A"/>
    <w:rsid w:val="002F3A7F"/>
    <w:rsid w:val="002F45CB"/>
    <w:rsid w:val="002F463E"/>
    <w:rsid w:val="002F484A"/>
    <w:rsid w:val="002F61F8"/>
    <w:rsid w:val="002F6FB3"/>
    <w:rsid w:val="002F71D5"/>
    <w:rsid w:val="003006F2"/>
    <w:rsid w:val="003008DC"/>
    <w:rsid w:val="00301449"/>
    <w:rsid w:val="0030190D"/>
    <w:rsid w:val="00301C5F"/>
    <w:rsid w:val="003020EB"/>
    <w:rsid w:val="00302276"/>
    <w:rsid w:val="003026B1"/>
    <w:rsid w:val="003028E5"/>
    <w:rsid w:val="00302FA4"/>
    <w:rsid w:val="00303924"/>
    <w:rsid w:val="00303A23"/>
    <w:rsid w:val="00303B64"/>
    <w:rsid w:val="00304332"/>
    <w:rsid w:val="00304999"/>
    <w:rsid w:val="00305980"/>
    <w:rsid w:val="00306501"/>
    <w:rsid w:val="0030744B"/>
    <w:rsid w:val="0030768C"/>
    <w:rsid w:val="00307852"/>
    <w:rsid w:val="00307868"/>
    <w:rsid w:val="0030799E"/>
    <w:rsid w:val="00310703"/>
    <w:rsid w:val="00310985"/>
    <w:rsid w:val="00310B76"/>
    <w:rsid w:val="00310EA7"/>
    <w:rsid w:val="00310FBB"/>
    <w:rsid w:val="0031141A"/>
    <w:rsid w:val="0031162C"/>
    <w:rsid w:val="003122AB"/>
    <w:rsid w:val="00312804"/>
    <w:rsid w:val="00312A81"/>
    <w:rsid w:val="00312F53"/>
    <w:rsid w:val="003130F1"/>
    <w:rsid w:val="003135CF"/>
    <w:rsid w:val="003136EB"/>
    <w:rsid w:val="00313C10"/>
    <w:rsid w:val="00313D4D"/>
    <w:rsid w:val="00313FC4"/>
    <w:rsid w:val="00315192"/>
    <w:rsid w:val="00315530"/>
    <w:rsid w:val="00315BF9"/>
    <w:rsid w:val="003163F2"/>
    <w:rsid w:val="003167FA"/>
    <w:rsid w:val="00316929"/>
    <w:rsid w:val="0031703F"/>
    <w:rsid w:val="003175C4"/>
    <w:rsid w:val="00317A00"/>
    <w:rsid w:val="00317CF8"/>
    <w:rsid w:val="003205C2"/>
    <w:rsid w:val="0032072B"/>
    <w:rsid w:val="003207DA"/>
    <w:rsid w:val="00321661"/>
    <w:rsid w:val="00321839"/>
    <w:rsid w:val="003218AE"/>
    <w:rsid w:val="00321D54"/>
    <w:rsid w:val="00321E20"/>
    <w:rsid w:val="00321EC7"/>
    <w:rsid w:val="00322B54"/>
    <w:rsid w:val="00323153"/>
    <w:rsid w:val="003231B4"/>
    <w:rsid w:val="00323DB1"/>
    <w:rsid w:val="00324308"/>
    <w:rsid w:val="00324B19"/>
    <w:rsid w:val="00324BF2"/>
    <w:rsid w:val="00325069"/>
    <w:rsid w:val="003250C9"/>
    <w:rsid w:val="003260DE"/>
    <w:rsid w:val="0032642E"/>
    <w:rsid w:val="00326B62"/>
    <w:rsid w:val="00326F16"/>
    <w:rsid w:val="0032749A"/>
    <w:rsid w:val="0032778D"/>
    <w:rsid w:val="00327C1E"/>
    <w:rsid w:val="0033053F"/>
    <w:rsid w:val="00330D7C"/>
    <w:rsid w:val="003311AF"/>
    <w:rsid w:val="003313FB"/>
    <w:rsid w:val="0033166C"/>
    <w:rsid w:val="003316C8"/>
    <w:rsid w:val="00331C94"/>
    <w:rsid w:val="003321B2"/>
    <w:rsid w:val="00333C0D"/>
    <w:rsid w:val="0033485B"/>
    <w:rsid w:val="00334939"/>
    <w:rsid w:val="00334D32"/>
    <w:rsid w:val="00335133"/>
    <w:rsid w:val="003355B0"/>
    <w:rsid w:val="00335703"/>
    <w:rsid w:val="00335FA9"/>
    <w:rsid w:val="003373C8"/>
    <w:rsid w:val="00337479"/>
    <w:rsid w:val="00340033"/>
    <w:rsid w:val="003400FE"/>
    <w:rsid w:val="003402E9"/>
    <w:rsid w:val="003403E9"/>
    <w:rsid w:val="0034064C"/>
    <w:rsid w:val="00340882"/>
    <w:rsid w:val="00343492"/>
    <w:rsid w:val="00343AB7"/>
    <w:rsid w:val="00344671"/>
    <w:rsid w:val="00344942"/>
    <w:rsid w:val="003449A0"/>
    <w:rsid w:val="00344A67"/>
    <w:rsid w:val="0034505B"/>
    <w:rsid w:val="00345D2F"/>
    <w:rsid w:val="003469EF"/>
    <w:rsid w:val="00347339"/>
    <w:rsid w:val="00347444"/>
    <w:rsid w:val="00347C15"/>
    <w:rsid w:val="003504D4"/>
    <w:rsid w:val="00350827"/>
    <w:rsid w:val="0035117F"/>
    <w:rsid w:val="00351468"/>
    <w:rsid w:val="003516A4"/>
    <w:rsid w:val="00351AA1"/>
    <w:rsid w:val="00351B60"/>
    <w:rsid w:val="00351E0A"/>
    <w:rsid w:val="003522DF"/>
    <w:rsid w:val="00352323"/>
    <w:rsid w:val="0035277E"/>
    <w:rsid w:val="00352ABD"/>
    <w:rsid w:val="00352ECD"/>
    <w:rsid w:val="00353802"/>
    <w:rsid w:val="00353D01"/>
    <w:rsid w:val="0035427B"/>
    <w:rsid w:val="00355015"/>
    <w:rsid w:val="00355790"/>
    <w:rsid w:val="003561C1"/>
    <w:rsid w:val="0035637F"/>
    <w:rsid w:val="00357291"/>
    <w:rsid w:val="00357709"/>
    <w:rsid w:val="0035796D"/>
    <w:rsid w:val="00357E23"/>
    <w:rsid w:val="00357FF7"/>
    <w:rsid w:val="00360240"/>
    <w:rsid w:val="003606F2"/>
    <w:rsid w:val="00360E63"/>
    <w:rsid w:val="00361BD9"/>
    <w:rsid w:val="00361DF5"/>
    <w:rsid w:val="00362DF2"/>
    <w:rsid w:val="0036318A"/>
    <w:rsid w:val="003635FE"/>
    <w:rsid w:val="00363EA0"/>
    <w:rsid w:val="00363F4F"/>
    <w:rsid w:val="0036456B"/>
    <w:rsid w:val="00364616"/>
    <w:rsid w:val="00364D75"/>
    <w:rsid w:val="003651D6"/>
    <w:rsid w:val="00365900"/>
    <w:rsid w:val="00365C06"/>
    <w:rsid w:val="00365E27"/>
    <w:rsid w:val="003660BC"/>
    <w:rsid w:val="0036612E"/>
    <w:rsid w:val="00366326"/>
    <w:rsid w:val="0036637B"/>
    <w:rsid w:val="0036662D"/>
    <w:rsid w:val="00366909"/>
    <w:rsid w:val="00366EF5"/>
    <w:rsid w:val="00367579"/>
    <w:rsid w:val="003678AF"/>
    <w:rsid w:val="00367A62"/>
    <w:rsid w:val="00367D94"/>
    <w:rsid w:val="00370089"/>
    <w:rsid w:val="0037021D"/>
    <w:rsid w:val="0037054E"/>
    <w:rsid w:val="00370A18"/>
    <w:rsid w:val="00371762"/>
    <w:rsid w:val="00371DF8"/>
    <w:rsid w:val="0037215E"/>
    <w:rsid w:val="0037223F"/>
    <w:rsid w:val="00372A02"/>
    <w:rsid w:val="00373A3B"/>
    <w:rsid w:val="00373ECC"/>
    <w:rsid w:val="00373EF6"/>
    <w:rsid w:val="00374174"/>
    <w:rsid w:val="0037508E"/>
    <w:rsid w:val="00375258"/>
    <w:rsid w:val="003754A0"/>
    <w:rsid w:val="0037572E"/>
    <w:rsid w:val="0037601A"/>
    <w:rsid w:val="003762AF"/>
    <w:rsid w:val="00376672"/>
    <w:rsid w:val="0037689C"/>
    <w:rsid w:val="003768E5"/>
    <w:rsid w:val="0037712E"/>
    <w:rsid w:val="003773DD"/>
    <w:rsid w:val="0037777C"/>
    <w:rsid w:val="00377C0D"/>
    <w:rsid w:val="00377ED7"/>
    <w:rsid w:val="00380145"/>
    <w:rsid w:val="003801EB"/>
    <w:rsid w:val="00380267"/>
    <w:rsid w:val="00380E2C"/>
    <w:rsid w:val="00381876"/>
    <w:rsid w:val="00381AA1"/>
    <w:rsid w:val="00382294"/>
    <w:rsid w:val="00382791"/>
    <w:rsid w:val="003832A3"/>
    <w:rsid w:val="003834AD"/>
    <w:rsid w:val="00383881"/>
    <w:rsid w:val="003839C5"/>
    <w:rsid w:val="00383C65"/>
    <w:rsid w:val="00383F14"/>
    <w:rsid w:val="00384004"/>
    <w:rsid w:val="00384503"/>
    <w:rsid w:val="00384737"/>
    <w:rsid w:val="00384774"/>
    <w:rsid w:val="00385A54"/>
    <w:rsid w:val="00385A7C"/>
    <w:rsid w:val="00385EE0"/>
    <w:rsid w:val="00386081"/>
    <w:rsid w:val="003861B7"/>
    <w:rsid w:val="00386683"/>
    <w:rsid w:val="00386949"/>
    <w:rsid w:val="00386AA8"/>
    <w:rsid w:val="0038746E"/>
    <w:rsid w:val="003879CC"/>
    <w:rsid w:val="00387E37"/>
    <w:rsid w:val="00390180"/>
    <w:rsid w:val="00390D03"/>
    <w:rsid w:val="00390F30"/>
    <w:rsid w:val="003913BC"/>
    <w:rsid w:val="00391748"/>
    <w:rsid w:val="0039175D"/>
    <w:rsid w:val="00391B43"/>
    <w:rsid w:val="00391B89"/>
    <w:rsid w:val="00391F1A"/>
    <w:rsid w:val="00392991"/>
    <w:rsid w:val="00392FE0"/>
    <w:rsid w:val="003930B4"/>
    <w:rsid w:val="00393225"/>
    <w:rsid w:val="00393A3F"/>
    <w:rsid w:val="003943E6"/>
    <w:rsid w:val="00394D9E"/>
    <w:rsid w:val="00394E28"/>
    <w:rsid w:val="00394E76"/>
    <w:rsid w:val="0039525B"/>
    <w:rsid w:val="0039555E"/>
    <w:rsid w:val="00395D64"/>
    <w:rsid w:val="00395D74"/>
    <w:rsid w:val="00396558"/>
    <w:rsid w:val="003968E6"/>
    <w:rsid w:val="00396937"/>
    <w:rsid w:val="00396BD7"/>
    <w:rsid w:val="00396C96"/>
    <w:rsid w:val="00397848"/>
    <w:rsid w:val="003A1211"/>
    <w:rsid w:val="003A1259"/>
    <w:rsid w:val="003A1B62"/>
    <w:rsid w:val="003A22D3"/>
    <w:rsid w:val="003A2478"/>
    <w:rsid w:val="003A2A0B"/>
    <w:rsid w:val="003A2AA5"/>
    <w:rsid w:val="003A32D4"/>
    <w:rsid w:val="003A351F"/>
    <w:rsid w:val="003A40C8"/>
    <w:rsid w:val="003A43B6"/>
    <w:rsid w:val="003A4581"/>
    <w:rsid w:val="003A4A6F"/>
    <w:rsid w:val="003A4C44"/>
    <w:rsid w:val="003A4C4E"/>
    <w:rsid w:val="003A4ED4"/>
    <w:rsid w:val="003A512B"/>
    <w:rsid w:val="003A562C"/>
    <w:rsid w:val="003A59F2"/>
    <w:rsid w:val="003A6224"/>
    <w:rsid w:val="003A676B"/>
    <w:rsid w:val="003A69FE"/>
    <w:rsid w:val="003A7451"/>
    <w:rsid w:val="003B061D"/>
    <w:rsid w:val="003B0A07"/>
    <w:rsid w:val="003B129E"/>
    <w:rsid w:val="003B2666"/>
    <w:rsid w:val="003B2942"/>
    <w:rsid w:val="003B30FF"/>
    <w:rsid w:val="003B363F"/>
    <w:rsid w:val="003B38A9"/>
    <w:rsid w:val="003B40D1"/>
    <w:rsid w:val="003B416C"/>
    <w:rsid w:val="003B42B1"/>
    <w:rsid w:val="003B48C5"/>
    <w:rsid w:val="003B49AA"/>
    <w:rsid w:val="003B50F5"/>
    <w:rsid w:val="003B634B"/>
    <w:rsid w:val="003B6E2F"/>
    <w:rsid w:val="003B7221"/>
    <w:rsid w:val="003B7318"/>
    <w:rsid w:val="003B7ADE"/>
    <w:rsid w:val="003B7D21"/>
    <w:rsid w:val="003B7FF5"/>
    <w:rsid w:val="003C0201"/>
    <w:rsid w:val="003C04E7"/>
    <w:rsid w:val="003C0AB5"/>
    <w:rsid w:val="003C1530"/>
    <w:rsid w:val="003C188C"/>
    <w:rsid w:val="003C1CFB"/>
    <w:rsid w:val="003C1EFA"/>
    <w:rsid w:val="003C315A"/>
    <w:rsid w:val="003C3A32"/>
    <w:rsid w:val="003C4734"/>
    <w:rsid w:val="003C4CA0"/>
    <w:rsid w:val="003C563F"/>
    <w:rsid w:val="003C572D"/>
    <w:rsid w:val="003C57AA"/>
    <w:rsid w:val="003C5AE4"/>
    <w:rsid w:val="003C6BBC"/>
    <w:rsid w:val="003C6BD7"/>
    <w:rsid w:val="003C6E5A"/>
    <w:rsid w:val="003C6F85"/>
    <w:rsid w:val="003C7E30"/>
    <w:rsid w:val="003D005E"/>
    <w:rsid w:val="003D0201"/>
    <w:rsid w:val="003D0680"/>
    <w:rsid w:val="003D0B8F"/>
    <w:rsid w:val="003D1EC0"/>
    <w:rsid w:val="003D23C2"/>
    <w:rsid w:val="003D2428"/>
    <w:rsid w:val="003D309E"/>
    <w:rsid w:val="003D33CE"/>
    <w:rsid w:val="003D33D4"/>
    <w:rsid w:val="003D3BC9"/>
    <w:rsid w:val="003D3E8C"/>
    <w:rsid w:val="003D3F72"/>
    <w:rsid w:val="003D401F"/>
    <w:rsid w:val="003D459B"/>
    <w:rsid w:val="003D45AE"/>
    <w:rsid w:val="003D544D"/>
    <w:rsid w:val="003D5B2A"/>
    <w:rsid w:val="003D5DBB"/>
    <w:rsid w:val="003D743E"/>
    <w:rsid w:val="003E03B0"/>
    <w:rsid w:val="003E052D"/>
    <w:rsid w:val="003E10F2"/>
    <w:rsid w:val="003E121E"/>
    <w:rsid w:val="003E12F1"/>
    <w:rsid w:val="003E1493"/>
    <w:rsid w:val="003E179A"/>
    <w:rsid w:val="003E1861"/>
    <w:rsid w:val="003E1A77"/>
    <w:rsid w:val="003E1C9C"/>
    <w:rsid w:val="003E1D6C"/>
    <w:rsid w:val="003E2616"/>
    <w:rsid w:val="003E2E49"/>
    <w:rsid w:val="003E2F43"/>
    <w:rsid w:val="003E3199"/>
    <w:rsid w:val="003E33B9"/>
    <w:rsid w:val="003E3B33"/>
    <w:rsid w:val="003E3B6C"/>
    <w:rsid w:val="003E3F6B"/>
    <w:rsid w:val="003E409D"/>
    <w:rsid w:val="003E4504"/>
    <w:rsid w:val="003E47CF"/>
    <w:rsid w:val="003E4F2D"/>
    <w:rsid w:val="003E5C66"/>
    <w:rsid w:val="003E5CD2"/>
    <w:rsid w:val="003E6383"/>
    <w:rsid w:val="003E6BEC"/>
    <w:rsid w:val="003E712E"/>
    <w:rsid w:val="003E72EA"/>
    <w:rsid w:val="003E74CD"/>
    <w:rsid w:val="003E7623"/>
    <w:rsid w:val="003E7764"/>
    <w:rsid w:val="003E7D00"/>
    <w:rsid w:val="003E7DD2"/>
    <w:rsid w:val="003E7E9A"/>
    <w:rsid w:val="003E7FD8"/>
    <w:rsid w:val="003F11D3"/>
    <w:rsid w:val="003F15D5"/>
    <w:rsid w:val="003F1685"/>
    <w:rsid w:val="003F1B5C"/>
    <w:rsid w:val="003F2105"/>
    <w:rsid w:val="003F241F"/>
    <w:rsid w:val="003F2525"/>
    <w:rsid w:val="003F2F83"/>
    <w:rsid w:val="003F301F"/>
    <w:rsid w:val="003F3136"/>
    <w:rsid w:val="003F358C"/>
    <w:rsid w:val="003F3771"/>
    <w:rsid w:val="003F39E0"/>
    <w:rsid w:val="003F4657"/>
    <w:rsid w:val="003F50F0"/>
    <w:rsid w:val="003F57A2"/>
    <w:rsid w:val="003F64E6"/>
    <w:rsid w:val="003F6928"/>
    <w:rsid w:val="003F6FC3"/>
    <w:rsid w:val="003F7054"/>
    <w:rsid w:val="003F7D57"/>
    <w:rsid w:val="003F7E07"/>
    <w:rsid w:val="003F7EFF"/>
    <w:rsid w:val="00400293"/>
    <w:rsid w:val="0040029C"/>
    <w:rsid w:val="004003A7"/>
    <w:rsid w:val="004005BD"/>
    <w:rsid w:val="004011CB"/>
    <w:rsid w:val="00401911"/>
    <w:rsid w:val="00401D6E"/>
    <w:rsid w:val="00401DA6"/>
    <w:rsid w:val="00402D11"/>
    <w:rsid w:val="00402D89"/>
    <w:rsid w:val="00403404"/>
    <w:rsid w:val="004034E6"/>
    <w:rsid w:val="00403AFB"/>
    <w:rsid w:val="00404331"/>
    <w:rsid w:val="004048D8"/>
    <w:rsid w:val="00404F3F"/>
    <w:rsid w:val="00405DE3"/>
    <w:rsid w:val="004066EB"/>
    <w:rsid w:val="004076DC"/>
    <w:rsid w:val="00407789"/>
    <w:rsid w:val="0041000D"/>
    <w:rsid w:val="00410E0A"/>
    <w:rsid w:val="0041102C"/>
    <w:rsid w:val="004112B8"/>
    <w:rsid w:val="00411765"/>
    <w:rsid w:val="00411BBD"/>
    <w:rsid w:val="00411C15"/>
    <w:rsid w:val="004121FF"/>
    <w:rsid w:val="004125DE"/>
    <w:rsid w:val="00412847"/>
    <w:rsid w:val="00412F53"/>
    <w:rsid w:val="004136D1"/>
    <w:rsid w:val="004146BF"/>
    <w:rsid w:val="00414738"/>
    <w:rsid w:val="00414AF9"/>
    <w:rsid w:val="00414E36"/>
    <w:rsid w:val="0041504A"/>
    <w:rsid w:val="00415450"/>
    <w:rsid w:val="004159BB"/>
    <w:rsid w:val="00415B3D"/>
    <w:rsid w:val="00415F9A"/>
    <w:rsid w:val="00416448"/>
    <w:rsid w:val="00416A95"/>
    <w:rsid w:val="004177D7"/>
    <w:rsid w:val="0042008F"/>
    <w:rsid w:val="004207DC"/>
    <w:rsid w:val="00420996"/>
    <w:rsid w:val="00421223"/>
    <w:rsid w:val="0042124D"/>
    <w:rsid w:val="004214BC"/>
    <w:rsid w:val="00422126"/>
    <w:rsid w:val="00422158"/>
    <w:rsid w:val="004228EF"/>
    <w:rsid w:val="00422E1C"/>
    <w:rsid w:val="0042321A"/>
    <w:rsid w:val="00423DCA"/>
    <w:rsid w:val="00424055"/>
    <w:rsid w:val="0042422D"/>
    <w:rsid w:val="00424CCD"/>
    <w:rsid w:val="004250C8"/>
    <w:rsid w:val="004252EE"/>
    <w:rsid w:val="00425404"/>
    <w:rsid w:val="004256C2"/>
    <w:rsid w:val="00425873"/>
    <w:rsid w:val="00425BE0"/>
    <w:rsid w:val="00425E3A"/>
    <w:rsid w:val="00426E8D"/>
    <w:rsid w:val="00427693"/>
    <w:rsid w:val="00427755"/>
    <w:rsid w:val="00427839"/>
    <w:rsid w:val="004279A5"/>
    <w:rsid w:val="00427B4F"/>
    <w:rsid w:val="00427B88"/>
    <w:rsid w:val="00430A4B"/>
    <w:rsid w:val="00430CA0"/>
    <w:rsid w:val="00430E74"/>
    <w:rsid w:val="0043116A"/>
    <w:rsid w:val="00431407"/>
    <w:rsid w:val="004314B6"/>
    <w:rsid w:val="00431A61"/>
    <w:rsid w:val="00431A9E"/>
    <w:rsid w:val="004321CD"/>
    <w:rsid w:val="00433A8E"/>
    <w:rsid w:val="00434498"/>
    <w:rsid w:val="0043480A"/>
    <w:rsid w:val="0043501D"/>
    <w:rsid w:val="00435133"/>
    <w:rsid w:val="004352FB"/>
    <w:rsid w:val="00435494"/>
    <w:rsid w:val="004354D0"/>
    <w:rsid w:val="00435672"/>
    <w:rsid w:val="004360C9"/>
    <w:rsid w:val="00436698"/>
    <w:rsid w:val="00436935"/>
    <w:rsid w:val="00436E40"/>
    <w:rsid w:val="004371DA"/>
    <w:rsid w:val="00437352"/>
    <w:rsid w:val="0043750B"/>
    <w:rsid w:val="004378A9"/>
    <w:rsid w:val="004379C0"/>
    <w:rsid w:val="004379C8"/>
    <w:rsid w:val="00437A6C"/>
    <w:rsid w:val="00437B12"/>
    <w:rsid w:val="00437B31"/>
    <w:rsid w:val="00440267"/>
    <w:rsid w:val="004402A7"/>
    <w:rsid w:val="00440E4D"/>
    <w:rsid w:val="00440F2C"/>
    <w:rsid w:val="00441CA8"/>
    <w:rsid w:val="0044289B"/>
    <w:rsid w:val="00443467"/>
    <w:rsid w:val="00443715"/>
    <w:rsid w:val="00444259"/>
    <w:rsid w:val="00445077"/>
    <w:rsid w:val="004455C8"/>
    <w:rsid w:val="00445726"/>
    <w:rsid w:val="00445883"/>
    <w:rsid w:val="00445955"/>
    <w:rsid w:val="00445BB8"/>
    <w:rsid w:val="004469F4"/>
    <w:rsid w:val="00446AE7"/>
    <w:rsid w:val="00447523"/>
    <w:rsid w:val="00450967"/>
    <w:rsid w:val="00450ADF"/>
    <w:rsid w:val="00450FEF"/>
    <w:rsid w:val="00451E14"/>
    <w:rsid w:val="00451F32"/>
    <w:rsid w:val="00452309"/>
    <w:rsid w:val="00452523"/>
    <w:rsid w:val="00453329"/>
    <w:rsid w:val="00454394"/>
    <w:rsid w:val="004547B2"/>
    <w:rsid w:val="004548A4"/>
    <w:rsid w:val="004556A7"/>
    <w:rsid w:val="00455C37"/>
    <w:rsid w:val="0045619F"/>
    <w:rsid w:val="00456338"/>
    <w:rsid w:val="00456636"/>
    <w:rsid w:val="00456B17"/>
    <w:rsid w:val="00456C8E"/>
    <w:rsid w:val="004570EB"/>
    <w:rsid w:val="004571CA"/>
    <w:rsid w:val="0045791D"/>
    <w:rsid w:val="00457AF2"/>
    <w:rsid w:val="00457DAB"/>
    <w:rsid w:val="00457DAD"/>
    <w:rsid w:val="00457E66"/>
    <w:rsid w:val="004612A7"/>
    <w:rsid w:val="0046192E"/>
    <w:rsid w:val="00461B40"/>
    <w:rsid w:val="00462337"/>
    <w:rsid w:val="00462339"/>
    <w:rsid w:val="004628A1"/>
    <w:rsid w:val="00462905"/>
    <w:rsid w:val="00462908"/>
    <w:rsid w:val="00462EAB"/>
    <w:rsid w:val="00463422"/>
    <w:rsid w:val="00464245"/>
    <w:rsid w:val="004649F7"/>
    <w:rsid w:val="004654DB"/>
    <w:rsid w:val="004658D9"/>
    <w:rsid w:val="00465BA3"/>
    <w:rsid w:val="00465E9F"/>
    <w:rsid w:val="004672A8"/>
    <w:rsid w:val="00467FEA"/>
    <w:rsid w:val="00470817"/>
    <w:rsid w:val="004711CB"/>
    <w:rsid w:val="004711D5"/>
    <w:rsid w:val="0047158C"/>
    <w:rsid w:val="00471A53"/>
    <w:rsid w:val="004721E9"/>
    <w:rsid w:val="00472C49"/>
    <w:rsid w:val="00473B40"/>
    <w:rsid w:val="00473EDF"/>
    <w:rsid w:val="00473FB5"/>
    <w:rsid w:val="00474AE6"/>
    <w:rsid w:val="00474E5F"/>
    <w:rsid w:val="00475483"/>
    <w:rsid w:val="00475C75"/>
    <w:rsid w:val="00476518"/>
    <w:rsid w:val="00476591"/>
    <w:rsid w:val="00476964"/>
    <w:rsid w:val="0047699B"/>
    <w:rsid w:val="00476A93"/>
    <w:rsid w:val="00476BA5"/>
    <w:rsid w:val="00476DA4"/>
    <w:rsid w:val="00476F3F"/>
    <w:rsid w:val="0047792A"/>
    <w:rsid w:val="00477C0A"/>
    <w:rsid w:val="00477CDD"/>
    <w:rsid w:val="00480019"/>
    <w:rsid w:val="00480A0D"/>
    <w:rsid w:val="00481491"/>
    <w:rsid w:val="00481913"/>
    <w:rsid w:val="00482147"/>
    <w:rsid w:val="0048273C"/>
    <w:rsid w:val="00482AE9"/>
    <w:rsid w:val="00482CD9"/>
    <w:rsid w:val="00482DD5"/>
    <w:rsid w:val="00482FB3"/>
    <w:rsid w:val="004830A8"/>
    <w:rsid w:val="0048382B"/>
    <w:rsid w:val="0048434D"/>
    <w:rsid w:val="004843C9"/>
    <w:rsid w:val="00484B7D"/>
    <w:rsid w:val="00484E80"/>
    <w:rsid w:val="004858FE"/>
    <w:rsid w:val="004864EF"/>
    <w:rsid w:val="00487164"/>
    <w:rsid w:val="00487488"/>
    <w:rsid w:val="00487D32"/>
    <w:rsid w:val="00487DF2"/>
    <w:rsid w:val="00490090"/>
    <w:rsid w:val="00490BFF"/>
    <w:rsid w:val="00490C0D"/>
    <w:rsid w:val="00490FF7"/>
    <w:rsid w:val="00491004"/>
    <w:rsid w:val="004919BF"/>
    <w:rsid w:val="00491B64"/>
    <w:rsid w:val="00491C5B"/>
    <w:rsid w:val="00491DD9"/>
    <w:rsid w:val="00491E3F"/>
    <w:rsid w:val="004926B4"/>
    <w:rsid w:val="00492B4E"/>
    <w:rsid w:val="00492D4F"/>
    <w:rsid w:val="00492DAB"/>
    <w:rsid w:val="00493007"/>
    <w:rsid w:val="00493209"/>
    <w:rsid w:val="0049335A"/>
    <w:rsid w:val="00493EB2"/>
    <w:rsid w:val="0049407B"/>
    <w:rsid w:val="004944EB"/>
    <w:rsid w:val="004946D2"/>
    <w:rsid w:val="00495122"/>
    <w:rsid w:val="00496024"/>
    <w:rsid w:val="0049656F"/>
    <w:rsid w:val="00496747"/>
    <w:rsid w:val="00496921"/>
    <w:rsid w:val="00496951"/>
    <w:rsid w:val="00496BB5"/>
    <w:rsid w:val="00497649"/>
    <w:rsid w:val="004979A4"/>
    <w:rsid w:val="00497B42"/>
    <w:rsid w:val="004A05C9"/>
    <w:rsid w:val="004A0CEA"/>
    <w:rsid w:val="004A0D7E"/>
    <w:rsid w:val="004A1940"/>
    <w:rsid w:val="004A2050"/>
    <w:rsid w:val="004A25A4"/>
    <w:rsid w:val="004A2722"/>
    <w:rsid w:val="004A2B74"/>
    <w:rsid w:val="004A2DC8"/>
    <w:rsid w:val="004A2E73"/>
    <w:rsid w:val="004A2F0D"/>
    <w:rsid w:val="004A337E"/>
    <w:rsid w:val="004A34C7"/>
    <w:rsid w:val="004A432F"/>
    <w:rsid w:val="004A5028"/>
    <w:rsid w:val="004A545D"/>
    <w:rsid w:val="004A5803"/>
    <w:rsid w:val="004A5AA9"/>
    <w:rsid w:val="004A60E6"/>
    <w:rsid w:val="004A630F"/>
    <w:rsid w:val="004A6B33"/>
    <w:rsid w:val="004A791F"/>
    <w:rsid w:val="004A7CF6"/>
    <w:rsid w:val="004A7E19"/>
    <w:rsid w:val="004B0674"/>
    <w:rsid w:val="004B0C1E"/>
    <w:rsid w:val="004B0C9A"/>
    <w:rsid w:val="004B0FC8"/>
    <w:rsid w:val="004B1218"/>
    <w:rsid w:val="004B1CDE"/>
    <w:rsid w:val="004B1D18"/>
    <w:rsid w:val="004B205E"/>
    <w:rsid w:val="004B2631"/>
    <w:rsid w:val="004B2A2D"/>
    <w:rsid w:val="004B2E04"/>
    <w:rsid w:val="004B2EDD"/>
    <w:rsid w:val="004B3F52"/>
    <w:rsid w:val="004B3F72"/>
    <w:rsid w:val="004B40AB"/>
    <w:rsid w:val="004B44A2"/>
    <w:rsid w:val="004B49C0"/>
    <w:rsid w:val="004B4F14"/>
    <w:rsid w:val="004B5089"/>
    <w:rsid w:val="004B5A05"/>
    <w:rsid w:val="004B5AAB"/>
    <w:rsid w:val="004B5D4C"/>
    <w:rsid w:val="004B60D5"/>
    <w:rsid w:val="004B6232"/>
    <w:rsid w:val="004B6DAD"/>
    <w:rsid w:val="004B7010"/>
    <w:rsid w:val="004B7A4B"/>
    <w:rsid w:val="004C029F"/>
    <w:rsid w:val="004C09C2"/>
    <w:rsid w:val="004C14E2"/>
    <w:rsid w:val="004C1A42"/>
    <w:rsid w:val="004C21B5"/>
    <w:rsid w:val="004C25AE"/>
    <w:rsid w:val="004C25D4"/>
    <w:rsid w:val="004C2609"/>
    <w:rsid w:val="004C2671"/>
    <w:rsid w:val="004C27F6"/>
    <w:rsid w:val="004C35D8"/>
    <w:rsid w:val="004C3A0A"/>
    <w:rsid w:val="004C4391"/>
    <w:rsid w:val="004C4BDB"/>
    <w:rsid w:val="004C53F3"/>
    <w:rsid w:val="004C5B23"/>
    <w:rsid w:val="004C6CA3"/>
    <w:rsid w:val="004C7265"/>
    <w:rsid w:val="004C7899"/>
    <w:rsid w:val="004D025F"/>
    <w:rsid w:val="004D135A"/>
    <w:rsid w:val="004D17BC"/>
    <w:rsid w:val="004D1921"/>
    <w:rsid w:val="004D1BA0"/>
    <w:rsid w:val="004D1C9C"/>
    <w:rsid w:val="004D2625"/>
    <w:rsid w:val="004D2691"/>
    <w:rsid w:val="004D282D"/>
    <w:rsid w:val="004D2B8F"/>
    <w:rsid w:val="004D3187"/>
    <w:rsid w:val="004D324D"/>
    <w:rsid w:val="004D32A4"/>
    <w:rsid w:val="004D3798"/>
    <w:rsid w:val="004D38B7"/>
    <w:rsid w:val="004D3912"/>
    <w:rsid w:val="004D484E"/>
    <w:rsid w:val="004D4A98"/>
    <w:rsid w:val="004D4C8C"/>
    <w:rsid w:val="004D5D7B"/>
    <w:rsid w:val="004D5DD0"/>
    <w:rsid w:val="004D5EDE"/>
    <w:rsid w:val="004D60ED"/>
    <w:rsid w:val="004D6188"/>
    <w:rsid w:val="004D6400"/>
    <w:rsid w:val="004D67D4"/>
    <w:rsid w:val="004D7AC6"/>
    <w:rsid w:val="004E043B"/>
    <w:rsid w:val="004E157D"/>
    <w:rsid w:val="004E1ACD"/>
    <w:rsid w:val="004E30FD"/>
    <w:rsid w:val="004E3474"/>
    <w:rsid w:val="004E3C34"/>
    <w:rsid w:val="004E3DA3"/>
    <w:rsid w:val="004E4D47"/>
    <w:rsid w:val="004E5115"/>
    <w:rsid w:val="004E5588"/>
    <w:rsid w:val="004E5614"/>
    <w:rsid w:val="004E579E"/>
    <w:rsid w:val="004E5A98"/>
    <w:rsid w:val="004E5BC9"/>
    <w:rsid w:val="004E5D0F"/>
    <w:rsid w:val="004E6769"/>
    <w:rsid w:val="004E688E"/>
    <w:rsid w:val="004E6AA9"/>
    <w:rsid w:val="004E70D2"/>
    <w:rsid w:val="004E7296"/>
    <w:rsid w:val="004E7E19"/>
    <w:rsid w:val="004F00DD"/>
    <w:rsid w:val="004F0197"/>
    <w:rsid w:val="004F020C"/>
    <w:rsid w:val="004F0465"/>
    <w:rsid w:val="004F0A81"/>
    <w:rsid w:val="004F0ABB"/>
    <w:rsid w:val="004F19ED"/>
    <w:rsid w:val="004F21E4"/>
    <w:rsid w:val="004F2D28"/>
    <w:rsid w:val="004F2E0A"/>
    <w:rsid w:val="004F3159"/>
    <w:rsid w:val="004F31F0"/>
    <w:rsid w:val="004F3BEC"/>
    <w:rsid w:val="004F4029"/>
    <w:rsid w:val="004F4924"/>
    <w:rsid w:val="004F4C59"/>
    <w:rsid w:val="004F53EA"/>
    <w:rsid w:val="004F55E4"/>
    <w:rsid w:val="004F5918"/>
    <w:rsid w:val="004F59DE"/>
    <w:rsid w:val="004F5A19"/>
    <w:rsid w:val="004F75C5"/>
    <w:rsid w:val="004F7677"/>
    <w:rsid w:val="004F79E9"/>
    <w:rsid w:val="004F7D22"/>
    <w:rsid w:val="005000D1"/>
    <w:rsid w:val="00500648"/>
    <w:rsid w:val="0050069B"/>
    <w:rsid w:val="00500AC4"/>
    <w:rsid w:val="00500C47"/>
    <w:rsid w:val="00500F61"/>
    <w:rsid w:val="005012A1"/>
    <w:rsid w:val="00501E05"/>
    <w:rsid w:val="005021AA"/>
    <w:rsid w:val="005028AF"/>
    <w:rsid w:val="0050296E"/>
    <w:rsid w:val="00502DCE"/>
    <w:rsid w:val="00502F0B"/>
    <w:rsid w:val="005034FB"/>
    <w:rsid w:val="005035DD"/>
    <w:rsid w:val="00503935"/>
    <w:rsid w:val="00503EBC"/>
    <w:rsid w:val="00504716"/>
    <w:rsid w:val="00504ADA"/>
    <w:rsid w:val="00504B64"/>
    <w:rsid w:val="005057A9"/>
    <w:rsid w:val="00505A4B"/>
    <w:rsid w:val="0050627D"/>
    <w:rsid w:val="00506529"/>
    <w:rsid w:val="005065FB"/>
    <w:rsid w:val="00506806"/>
    <w:rsid w:val="005069A1"/>
    <w:rsid w:val="00507141"/>
    <w:rsid w:val="0050766D"/>
    <w:rsid w:val="00507743"/>
    <w:rsid w:val="005078DA"/>
    <w:rsid w:val="00507FE0"/>
    <w:rsid w:val="0051003E"/>
    <w:rsid w:val="00510291"/>
    <w:rsid w:val="00510395"/>
    <w:rsid w:val="00510502"/>
    <w:rsid w:val="00510522"/>
    <w:rsid w:val="005108CA"/>
    <w:rsid w:val="00510D64"/>
    <w:rsid w:val="00510F36"/>
    <w:rsid w:val="00510F50"/>
    <w:rsid w:val="00510F52"/>
    <w:rsid w:val="00511206"/>
    <w:rsid w:val="0051156D"/>
    <w:rsid w:val="00511B5B"/>
    <w:rsid w:val="00512546"/>
    <w:rsid w:val="00512705"/>
    <w:rsid w:val="0051311F"/>
    <w:rsid w:val="00513142"/>
    <w:rsid w:val="005133ED"/>
    <w:rsid w:val="0051452F"/>
    <w:rsid w:val="0051478E"/>
    <w:rsid w:val="005151B9"/>
    <w:rsid w:val="005153D3"/>
    <w:rsid w:val="00515630"/>
    <w:rsid w:val="0051598E"/>
    <w:rsid w:val="00515AF2"/>
    <w:rsid w:val="00515D15"/>
    <w:rsid w:val="00515DE3"/>
    <w:rsid w:val="00515F24"/>
    <w:rsid w:val="00516B1F"/>
    <w:rsid w:val="005174CC"/>
    <w:rsid w:val="00517BC1"/>
    <w:rsid w:val="00517C09"/>
    <w:rsid w:val="005203A0"/>
    <w:rsid w:val="00520752"/>
    <w:rsid w:val="00520D66"/>
    <w:rsid w:val="0052142B"/>
    <w:rsid w:val="0052176E"/>
    <w:rsid w:val="00521C47"/>
    <w:rsid w:val="005220BA"/>
    <w:rsid w:val="005227F9"/>
    <w:rsid w:val="00522D66"/>
    <w:rsid w:val="005232A7"/>
    <w:rsid w:val="00524103"/>
    <w:rsid w:val="005243C5"/>
    <w:rsid w:val="005245AE"/>
    <w:rsid w:val="00524979"/>
    <w:rsid w:val="00524DB7"/>
    <w:rsid w:val="00525465"/>
    <w:rsid w:val="00525738"/>
    <w:rsid w:val="00525C1F"/>
    <w:rsid w:val="00525F31"/>
    <w:rsid w:val="0052653A"/>
    <w:rsid w:val="00526905"/>
    <w:rsid w:val="00527A93"/>
    <w:rsid w:val="00527CAF"/>
    <w:rsid w:val="00530470"/>
    <w:rsid w:val="0053051E"/>
    <w:rsid w:val="00530880"/>
    <w:rsid w:val="00530B93"/>
    <w:rsid w:val="00530FBF"/>
    <w:rsid w:val="00531162"/>
    <w:rsid w:val="0053133F"/>
    <w:rsid w:val="0053165B"/>
    <w:rsid w:val="005319FB"/>
    <w:rsid w:val="00532A2A"/>
    <w:rsid w:val="00532A68"/>
    <w:rsid w:val="00532C2D"/>
    <w:rsid w:val="005330A7"/>
    <w:rsid w:val="005330D1"/>
    <w:rsid w:val="00533310"/>
    <w:rsid w:val="0053334C"/>
    <w:rsid w:val="00533473"/>
    <w:rsid w:val="0053360B"/>
    <w:rsid w:val="005339ED"/>
    <w:rsid w:val="005346B4"/>
    <w:rsid w:val="005355E4"/>
    <w:rsid w:val="00535687"/>
    <w:rsid w:val="005359CB"/>
    <w:rsid w:val="00536775"/>
    <w:rsid w:val="005379B7"/>
    <w:rsid w:val="005402A9"/>
    <w:rsid w:val="00541C1B"/>
    <w:rsid w:val="00541FD2"/>
    <w:rsid w:val="005428E8"/>
    <w:rsid w:val="00543ADE"/>
    <w:rsid w:val="00544321"/>
    <w:rsid w:val="00544566"/>
    <w:rsid w:val="00544B3B"/>
    <w:rsid w:val="00544E12"/>
    <w:rsid w:val="005457D8"/>
    <w:rsid w:val="00545B55"/>
    <w:rsid w:val="00546211"/>
    <w:rsid w:val="005465AD"/>
    <w:rsid w:val="00546D89"/>
    <w:rsid w:val="00547283"/>
    <w:rsid w:val="00547467"/>
    <w:rsid w:val="00547617"/>
    <w:rsid w:val="00547C40"/>
    <w:rsid w:val="00547E07"/>
    <w:rsid w:val="00547EC5"/>
    <w:rsid w:val="0055065D"/>
    <w:rsid w:val="005506AA"/>
    <w:rsid w:val="00550E9C"/>
    <w:rsid w:val="00550F37"/>
    <w:rsid w:val="00551308"/>
    <w:rsid w:val="0055137F"/>
    <w:rsid w:val="00551A28"/>
    <w:rsid w:val="00552A91"/>
    <w:rsid w:val="00552B22"/>
    <w:rsid w:val="00552D48"/>
    <w:rsid w:val="00553292"/>
    <w:rsid w:val="00554687"/>
    <w:rsid w:val="00555F7D"/>
    <w:rsid w:val="0055635D"/>
    <w:rsid w:val="00556B37"/>
    <w:rsid w:val="0056027E"/>
    <w:rsid w:val="00560FB9"/>
    <w:rsid w:val="0056172F"/>
    <w:rsid w:val="005617B2"/>
    <w:rsid w:val="00561C62"/>
    <w:rsid w:val="00562468"/>
    <w:rsid w:val="00562512"/>
    <w:rsid w:val="00563262"/>
    <w:rsid w:val="00563817"/>
    <w:rsid w:val="00563AB6"/>
    <w:rsid w:val="00563BEB"/>
    <w:rsid w:val="00563C89"/>
    <w:rsid w:val="00564820"/>
    <w:rsid w:val="00564B2F"/>
    <w:rsid w:val="00564BED"/>
    <w:rsid w:val="0056568E"/>
    <w:rsid w:val="0056633C"/>
    <w:rsid w:val="00567CF0"/>
    <w:rsid w:val="00570126"/>
    <w:rsid w:val="005702A1"/>
    <w:rsid w:val="0057061E"/>
    <w:rsid w:val="00570FF7"/>
    <w:rsid w:val="00571956"/>
    <w:rsid w:val="00572133"/>
    <w:rsid w:val="00572395"/>
    <w:rsid w:val="00573316"/>
    <w:rsid w:val="0057331A"/>
    <w:rsid w:val="005743AB"/>
    <w:rsid w:val="00574825"/>
    <w:rsid w:val="0057582A"/>
    <w:rsid w:val="0057672A"/>
    <w:rsid w:val="0057679C"/>
    <w:rsid w:val="00576C09"/>
    <w:rsid w:val="005773D3"/>
    <w:rsid w:val="00580706"/>
    <w:rsid w:val="0058072E"/>
    <w:rsid w:val="00580DC8"/>
    <w:rsid w:val="005810E7"/>
    <w:rsid w:val="00582298"/>
    <w:rsid w:val="005824D5"/>
    <w:rsid w:val="00582C17"/>
    <w:rsid w:val="00582E2F"/>
    <w:rsid w:val="0058307B"/>
    <w:rsid w:val="00583972"/>
    <w:rsid w:val="00583C1B"/>
    <w:rsid w:val="00584043"/>
    <w:rsid w:val="005840F3"/>
    <w:rsid w:val="00584632"/>
    <w:rsid w:val="00584A95"/>
    <w:rsid w:val="00584B3A"/>
    <w:rsid w:val="00584BD5"/>
    <w:rsid w:val="00584D02"/>
    <w:rsid w:val="00585116"/>
    <w:rsid w:val="005857E3"/>
    <w:rsid w:val="00585DFF"/>
    <w:rsid w:val="005860A7"/>
    <w:rsid w:val="00586275"/>
    <w:rsid w:val="00586B23"/>
    <w:rsid w:val="00586D01"/>
    <w:rsid w:val="00586F14"/>
    <w:rsid w:val="0058737B"/>
    <w:rsid w:val="005878B4"/>
    <w:rsid w:val="00587D3F"/>
    <w:rsid w:val="00587F72"/>
    <w:rsid w:val="00590F96"/>
    <w:rsid w:val="005917D8"/>
    <w:rsid w:val="005918BB"/>
    <w:rsid w:val="0059272E"/>
    <w:rsid w:val="005927CB"/>
    <w:rsid w:val="00592BBD"/>
    <w:rsid w:val="005932C1"/>
    <w:rsid w:val="005932D2"/>
    <w:rsid w:val="0059337E"/>
    <w:rsid w:val="00594A70"/>
    <w:rsid w:val="0059527D"/>
    <w:rsid w:val="0059528A"/>
    <w:rsid w:val="00595772"/>
    <w:rsid w:val="00595983"/>
    <w:rsid w:val="00595BFC"/>
    <w:rsid w:val="00595C22"/>
    <w:rsid w:val="00596306"/>
    <w:rsid w:val="00596857"/>
    <w:rsid w:val="005A02F7"/>
    <w:rsid w:val="005A03E0"/>
    <w:rsid w:val="005A088F"/>
    <w:rsid w:val="005A0B69"/>
    <w:rsid w:val="005A0BDA"/>
    <w:rsid w:val="005A166E"/>
    <w:rsid w:val="005A1B0F"/>
    <w:rsid w:val="005A21A0"/>
    <w:rsid w:val="005A2503"/>
    <w:rsid w:val="005A304C"/>
    <w:rsid w:val="005A3285"/>
    <w:rsid w:val="005A44E1"/>
    <w:rsid w:val="005A489B"/>
    <w:rsid w:val="005A5734"/>
    <w:rsid w:val="005A590B"/>
    <w:rsid w:val="005A60DF"/>
    <w:rsid w:val="005A6624"/>
    <w:rsid w:val="005A6849"/>
    <w:rsid w:val="005A6F3D"/>
    <w:rsid w:val="005A75F4"/>
    <w:rsid w:val="005A7822"/>
    <w:rsid w:val="005A7B06"/>
    <w:rsid w:val="005A7F59"/>
    <w:rsid w:val="005B0116"/>
    <w:rsid w:val="005B0120"/>
    <w:rsid w:val="005B048A"/>
    <w:rsid w:val="005B0798"/>
    <w:rsid w:val="005B0CC2"/>
    <w:rsid w:val="005B163A"/>
    <w:rsid w:val="005B1BA8"/>
    <w:rsid w:val="005B29A4"/>
    <w:rsid w:val="005B2AA4"/>
    <w:rsid w:val="005B2DCF"/>
    <w:rsid w:val="005B2EE7"/>
    <w:rsid w:val="005B3D04"/>
    <w:rsid w:val="005B3DDD"/>
    <w:rsid w:val="005B4390"/>
    <w:rsid w:val="005B47C2"/>
    <w:rsid w:val="005B4E0A"/>
    <w:rsid w:val="005B52A8"/>
    <w:rsid w:val="005B53C9"/>
    <w:rsid w:val="005B56D8"/>
    <w:rsid w:val="005B57E0"/>
    <w:rsid w:val="005B58B4"/>
    <w:rsid w:val="005B5D9E"/>
    <w:rsid w:val="005B5DEA"/>
    <w:rsid w:val="005B6556"/>
    <w:rsid w:val="005B70C1"/>
    <w:rsid w:val="005B76C4"/>
    <w:rsid w:val="005B7F62"/>
    <w:rsid w:val="005C06BB"/>
    <w:rsid w:val="005C06C5"/>
    <w:rsid w:val="005C0AFD"/>
    <w:rsid w:val="005C0D1C"/>
    <w:rsid w:val="005C11C7"/>
    <w:rsid w:val="005C13DF"/>
    <w:rsid w:val="005C19AD"/>
    <w:rsid w:val="005C1AFE"/>
    <w:rsid w:val="005C1BF7"/>
    <w:rsid w:val="005C27F1"/>
    <w:rsid w:val="005C282F"/>
    <w:rsid w:val="005C2B76"/>
    <w:rsid w:val="005C2DFA"/>
    <w:rsid w:val="005C3115"/>
    <w:rsid w:val="005C31C3"/>
    <w:rsid w:val="005C34B3"/>
    <w:rsid w:val="005C35A9"/>
    <w:rsid w:val="005C387B"/>
    <w:rsid w:val="005C3CB2"/>
    <w:rsid w:val="005C3FEA"/>
    <w:rsid w:val="005C4262"/>
    <w:rsid w:val="005C4F88"/>
    <w:rsid w:val="005C503B"/>
    <w:rsid w:val="005C5355"/>
    <w:rsid w:val="005C5EC2"/>
    <w:rsid w:val="005C680E"/>
    <w:rsid w:val="005C7109"/>
    <w:rsid w:val="005C7266"/>
    <w:rsid w:val="005C72D1"/>
    <w:rsid w:val="005C772D"/>
    <w:rsid w:val="005C7BCC"/>
    <w:rsid w:val="005C7D40"/>
    <w:rsid w:val="005D0130"/>
    <w:rsid w:val="005D04BD"/>
    <w:rsid w:val="005D0A83"/>
    <w:rsid w:val="005D0BFB"/>
    <w:rsid w:val="005D0D86"/>
    <w:rsid w:val="005D1587"/>
    <w:rsid w:val="005D1600"/>
    <w:rsid w:val="005D1841"/>
    <w:rsid w:val="005D3468"/>
    <w:rsid w:val="005D402D"/>
    <w:rsid w:val="005D4740"/>
    <w:rsid w:val="005D4BC3"/>
    <w:rsid w:val="005D594D"/>
    <w:rsid w:val="005D5D46"/>
    <w:rsid w:val="005D619A"/>
    <w:rsid w:val="005D68CF"/>
    <w:rsid w:val="005D718B"/>
    <w:rsid w:val="005D7EC4"/>
    <w:rsid w:val="005E05A2"/>
    <w:rsid w:val="005E0E83"/>
    <w:rsid w:val="005E10F7"/>
    <w:rsid w:val="005E1583"/>
    <w:rsid w:val="005E1899"/>
    <w:rsid w:val="005E19EA"/>
    <w:rsid w:val="005E1CF8"/>
    <w:rsid w:val="005E1F9A"/>
    <w:rsid w:val="005E20D1"/>
    <w:rsid w:val="005E262C"/>
    <w:rsid w:val="005E2695"/>
    <w:rsid w:val="005E2E36"/>
    <w:rsid w:val="005E35E4"/>
    <w:rsid w:val="005E3695"/>
    <w:rsid w:val="005E3BDF"/>
    <w:rsid w:val="005E3D61"/>
    <w:rsid w:val="005E4F2A"/>
    <w:rsid w:val="005E5587"/>
    <w:rsid w:val="005E5897"/>
    <w:rsid w:val="005E6B24"/>
    <w:rsid w:val="005E6C56"/>
    <w:rsid w:val="005E71EC"/>
    <w:rsid w:val="005E77D9"/>
    <w:rsid w:val="005E79E6"/>
    <w:rsid w:val="005E7A59"/>
    <w:rsid w:val="005F0179"/>
    <w:rsid w:val="005F0310"/>
    <w:rsid w:val="005F055E"/>
    <w:rsid w:val="005F08A5"/>
    <w:rsid w:val="005F0CA0"/>
    <w:rsid w:val="005F0CB2"/>
    <w:rsid w:val="005F0FC4"/>
    <w:rsid w:val="005F2993"/>
    <w:rsid w:val="005F2B01"/>
    <w:rsid w:val="005F2C4B"/>
    <w:rsid w:val="005F2CF4"/>
    <w:rsid w:val="005F2CF9"/>
    <w:rsid w:val="005F3664"/>
    <w:rsid w:val="005F3890"/>
    <w:rsid w:val="005F4058"/>
    <w:rsid w:val="005F41D0"/>
    <w:rsid w:val="005F4986"/>
    <w:rsid w:val="005F4AB0"/>
    <w:rsid w:val="005F4C69"/>
    <w:rsid w:val="005F4DB1"/>
    <w:rsid w:val="005F4E46"/>
    <w:rsid w:val="005F5014"/>
    <w:rsid w:val="005F549E"/>
    <w:rsid w:val="005F5711"/>
    <w:rsid w:val="005F5ED9"/>
    <w:rsid w:val="005F664E"/>
    <w:rsid w:val="005F666A"/>
    <w:rsid w:val="005F66E5"/>
    <w:rsid w:val="005F68C6"/>
    <w:rsid w:val="005F6948"/>
    <w:rsid w:val="005F6AF0"/>
    <w:rsid w:val="005F70E6"/>
    <w:rsid w:val="005F7268"/>
    <w:rsid w:val="005F73C8"/>
    <w:rsid w:val="005F77A0"/>
    <w:rsid w:val="005F789B"/>
    <w:rsid w:val="00600144"/>
    <w:rsid w:val="00600545"/>
    <w:rsid w:val="00600B92"/>
    <w:rsid w:val="00600E50"/>
    <w:rsid w:val="006019E7"/>
    <w:rsid w:val="006025B1"/>
    <w:rsid w:val="006026C2"/>
    <w:rsid w:val="006028F6"/>
    <w:rsid w:val="00602E5C"/>
    <w:rsid w:val="006032E1"/>
    <w:rsid w:val="00604CD4"/>
    <w:rsid w:val="00604DFD"/>
    <w:rsid w:val="00604E98"/>
    <w:rsid w:val="00605303"/>
    <w:rsid w:val="00606457"/>
    <w:rsid w:val="006067A8"/>
    <w:rsid w:val="0060692B"/>
    <w:rsid w:val="00606E71"/>
    <w:rsid w:val="00606EEF"/>
    <w:rsid w:val="00607038"/>
    <w:rsid w:val="00607AB3"/>
    <w:rsid w:val="00607DC3"/>
    <w:rsid w:val="00607F3A"/>
    <w:rsid w:val="0061004E"/>
    <w:rsid w:val="00610272"/>
    <w:rsid w:val="00610FA5"/>
    <w:rsid w:val="0061100C"/>
    <w:rsid w:val="00611330"/>
    <w:rsid w:val="00611378"/>
    <w:rsid w:val="0061137D"/>
    <w:rsid w:val="00611586"/>
    <w:rsid w:val="006117D2"/>
    <w:rsid w:val="0061272F"/>
    <w:rsid w:val="0061282B"/>
    <w:rsid w:val="00613348"/>
    <w:rsid w:val="006134BD"/>
    <w:rsid w:val="00613569"/>
    <w:rsid w:val="006135DA"/>
    <w:rsid w:val="00613621"/>
    <w:rsid w:val="006145A9"/>
    <w:rsid w:val="00614759"/>
    <w:rsid w:val="00614A13"/>
    <w:rsid w:val="00615489"/>
    <w:rsid w:val="00615BD9"/>
    <w:rsid w:val="00615D47"/>
    <w:rsid w:val="00615DD8"/>
    <w:rsid w:val="006160E3"/>
    <w:rsid w:val="00616151"/>
    <w:rsid w:val="0061615A"/>
    <w:rsid w:val="0061633C"/>
    <w:rsid w:val="006163F4"/>
    <w:rsid w:val="006172FB"/>
    <w:rsid w:val="0061746E"/>
    <w:rsid w:val="006174E0"/>
    <w:rsid w:val="0061766B"/>
    <w:rsid w:val="006179E7"/>
    <w:rsid w:val="006208B3"/>
    <w:rsid w:val="0062096C"/>
    <w:rsid w:val="00620E3D"/>
    <w:rsid w:val="00620ECC"/>
    <w:rsid w:val="00620F29"/>
    <w:rsid w:val="006214E4"/>
    <w:rsid w:val="006215BF"/>
    <w:rsid w:val="00621B3D"/>
    <w:rsid w:val="00621CBB"/>
    <w:rsid w:val="00621DAA"/>
    <w:rsid w:val="00621DAB"/>
    <w:rsid w:val="00621F5A"/>
    <w:rsid w:val="00622721"/>
    <w:rsid w:val="00622E32"/>
    <w:rsid w:val="00623E92"/>
    <w:rsid w:val="00623F5F"/>
    <w:rsid w:val="00624C4A"/>
    <w:rsid w:val="00624ED6"/>
    <w:rsid w:val="00625039"/>
    <w:rsid w:val="006254AE"/>
    <w:rsid w:val="006259B4"/>
    <w:rsid w:val="006259CC"/>
    <w:rsid w:val="00625A24"/>
    <w:rsid w:val="00625A3A"/>
    <w:rsid w:val="00625A54"/>
    <w:rsid w:val="00625CB0"/>
    <w:rsid w:val="00625F5B"/>
    <w:rsid w:val="00626ED5"/>
    <w:rsid w:val="006275D6"/>
    <w:rsid w:val="00627FC3"/>
    <w:rsid w:val="0063005E"/>
    <w:rsid w:val="00630501"/>
    <w:rsid w:val="00631F9A"/>
    <w:rsid w:val="006336BF"/>
    <w:rsid w:val="00633A99"/>
    <w:rsid w:val="00634B57"/>
    <w:rsid w:val="00634DA4"/>
    <w:rsid w:val="00635CC7"/>
    <w:rsid w:val="00636021"/>
    <w:rsid w:val="006360C8"/>
    <w:rsid w:val="00636204"/>
    <w:rsid w:val="00636554"/>
    <w:rsid w:val="006367F6"/>
    <w:rsid w:val="00637392"/>
    <w:rsid w:val="006378E7"/>
    <w:rsid w:val="00637B7C"/>
    <w:rsid w:val="00637C3A"/>
    <w:rsid w:val="0064048D"/>
    <w:rsid w:val="006404F1"/>
    <w:rsid w:val="00640822"/>
    <w:rsid w:val="0064128B"/>
    <w:rsid w:val="00641473"/>
    <w:rsid w:val="006414A4"/>
    <w:rsid w:val="00641774"/>
    <w:rsid w:val="00641A26"/>
    <w:rsid w:val="006420E8"/>
    <w:rsid w:val="00642348"/>
    <w:rsid w:val="006423EB"/>
    <w:rsid w:val="00642783"/>
    <w:rsid w:val="00642DBC"/>
    <w:rsid w:val="00643F31"/>
    <w:rsid w:val="006443BF"/>
    <w:rsid w:val="0064486A"/>
    <w:rsid w:val="00644C4A"/>
    <w:rsid w:val="00645021"/>
    <w:rsid w:val="00645182"/>
    <w:rsid w:val="006451CD"/>
    <w:rsid w:val="006451D3"/>
    <w:rsid w:val="0064551C"/>
    <w:rsid w:val="00646045"/>
    <w:rsid w:val="00646211"/>
    <w:rsid w:val="00647733"/>
    <w:rsid w:val="0064779A"/>
    <w:rsid w:val="0064798D"/>
    <w:rsid w:val="006502EC"/>
    <w:rsid w:val="00650AAA"/>
    <w:rsid w:val="00650C88"/>
    <w:rsid w:val="00650DDD"/>
    <w:rsid w:val="00650FA2"/>
    <w:rsid w:val="006510F6"/>
    <w:rsid w:val="006517DA"/>
    <w:rsid w:val="00651D00"/>
    <w:rsid w:val="00651E60"/>
    <w:rsid w:val="0065200D"/>
    <w:rsid w:val="00652513"/>
    <w:rsid w:val="006526C6"/>
    <w:rsid w:val="00652946"/>
    <w:rsid w:val="00652BDF"/>
    <w:rsid w:val="006530BB"/>
    <w:rsid w:val="00653398"/>
    <w:rsid w:val="00653425"/>
    <w:rsid w:val="00653B48"/>
    <w:rsid w:val="0065431C"/>
    <w:rsid w:val="00654AD6"/>
    <w:rsid w:val="00654C68"/>
    <w:rsid w:val="00654CE1"/>
    <w:rsid w:val="00654DDC"/>
    <w:rsid w:val="006555C6"/>
    <w:rsid w:val="006558B1"/>
    <w:rsid w:val="006559CB"/>
    <w:rsid w:val="00655AD0"/>
    <w:rsid w:val="00657DB0"/>
    <w:rsid w:val="00660077"/>
    <w:rsid w:val="00660162"/>
    <w:rsid w:val="006605B8"/>
    <w:rsid w:val="006607FC"/>
    <w:rsid w:val="00660919"/>
    <w:rsid w:val="00661587"/>
    <w:rsid w:val="006616C6"/>
    <w:rsid w:val="00661A45"/>
    <w:rsid w:val="00661AC9"/>
    <w:rsid w:val="006622C2"/>
    <w:rsid w:val="006624F3"/>
    <w:rsid w:val="006627A1"/>
    <w:rsid w:val="006640D6"/>
    <w:rsid w:val="0066411E"/>
    <w:rsid w:val="0066469B"/>
    <w:rsid w:val="0066497E"/>
    <w:rsid w:val="00664B33"/>
    <w:rsid w:val="0066592E"/>
    <w:rsid w:val="00665C4B"/>
    <w:rsid w:val="00665F5B"/>
    <w:rsid w:val="00666323"/>
    <w:rsid w:val="00666744"/>
    <w:rsid w:val="0066694F"/>
    <w:rsid w:val="00666A26"/>
    <w:rsid w:val="00666CE3"/>
    <w:rsid w:val="00666F3F"/>
    <w:rsid w:val="0066769D"/>
    <w:rsid w:val="00667A3C"/>
    <w:rsid w:val="00667B05"/>
    <w:rsid w:val="00667B9E"/>
    <w:rsid w:val="00667E6E"/>
    <w:rsid w:val="0067010B"/>
    <w:rsid w:val="00670986"/>
    <w:rsid w:val="006710CC"/>
    <w:rsid w:val="006710EB"/>
    <w:rsid w:val="006713C7"/>
    <w:rsid w:val="006714E3"/>
    <w:rsid w:val="0067151E"/>
    <w:rsid w:val="006721A4"/>
    <w:rsid w:val="00672CA8"/>
    <w:rsid w:val="00672D0F"/>
    <w:rsid w:val="00672DB5"/>
    <w:rsid w:val="00673EB3"/>
    <w:rsid w:val="00674328"/>
    <w:rsid w:val="00674387"/>
    <w:rsid w:val="00674E9A"/>
    <w:rsid w:val="00675061"/>
    <w:rsid w:val="006753CD"/>
    <w:rsid w:val="0067592B"/>
    <w:rsid w:val="00676456"/>
    <w:rsid w:val="006764FA"/>
    <w:rsid w:val="006769E3"/>
    <w:rsid w:val="00676D3B"/>
    <w:rsid w:val="0067733F"/>
    <w:rsid w:val="0067741D"/>
    <w:rsid w:val="00677CDB"/>
    <w:rsid w:val="006803B1"/>
    <w:rsid w:val="006810E4"/>
    <w:rsid w:val="0068133E"/>
    <w:rsid w:val="0068212D"/>
    <w:rsid w:val="00682609"/>
    <w:rsid w:val="0068286E"/>
    <w:rsid w:val="00682BE0"/>
    <w:rsid w:val="00682ED1"/>
    <w:rsid w:val="00683590"/>
    <w:rsid w:val="00683BD0"/>
    <w:rsid w:val="00683C29"/>
    <w:rsid w:val="00683F24"/>
    <w:rsid w:val="0068420F"/>
    <w:rsid w:val="00684842"/>
    <w:rsid w:val="00684A13"/>
    <w:rsid w:val="00684AFF"/>
    <w:rsid w:val="00684B32"/>
    <w:rsid w:val="006855A4"/>
    <w:rsid w:val="00685A39"/>
    <w:rsid w:val="006860B9"/>
    <w:rsid w:val="0068635A"/>
    <w:rsid w:val="00686C48"/>
    <w:rsid w:val="006870A0"/>
    <w:rsid w:val="00687125"/>
    <w:rsid w:val="00687549"/>
    <w:rsid w:val="0068784E"/>
    <w:rsid w:val="00687C8E"/>
    <w:rsid w:val="00690E63"/>
    <w:rsid w:val="00691501"/>
    <w:rsid w:val="00691594"/>
    <w:rsid w:val="00691630"/>
    <w:rsid w:val="0069168B"/>
    <w:rsid w:val="00691CC0"/>
    <w:rsid w:val="00691EA3"/>
    <w:rsid w:val="00692020"/>
    <w:rsid w:val="00692468"/>
    <w:rsid w:val="00692BD0"/>
    <w:rsid w:val="00692CDB"/>
    <w:rsid w:val="00692FA8"/>
    <w:rsid w:val="006930DF"/>
    <w:rsid w:val="006934E6"/>
    <w:rsid w:val="00693B5C"/>
    <w:rsid w:val="00694026"/>
    <w:rsid w:val="0069405D"/>
    <w:rsid w:val="0069422E"/>
    <w:rsid w:val="006943BF"/>
    <w:rsid w:val="006944FC"/>
    <w:rsid w:val="00694A75"/>
    <w:rsid w:val="00694BBC"/>
    <w:rsid w:val="00694EFA"/>
    <w:rsid w:val="006954E1"/>
    <w:rsid w:val="00695954"/>
    <w:rsid w:val="00695DAE"/>
    <w:rsid w:val="006963E8"/>
    <w:rsid w:val="006967BC"/>
    <w:rsid w:val="0069695B"/>
    <w:rsid w:val="00696A65"/>
    <w:rsid w:val="00696AED"/>
    <w:rsid w:val="006976CC"/>
    <w:rsid w:val="00697F39"/>
    <w:rsid w:val="006A0259"/>
    <w:rsid w:val="006A0385"/>
    <w:rsid w:val="006A0656"/>
    <w:rsid w:val="006A083A"/>
    <w:rsid w:val="006A09A3"/>
    <w:rsid w:val="006A1106"/>
    <w:rsid w:val="006A1125"/>
    <w:rsid w:val="006A1D4E"/>
    <w:rsid w:val="006A1F5A"/>
    <w:rsid w:val="006A20FF"/>
    <w:rsid w:val="006A25D9"/>
    <w:rsid w:val="006A284E"/>
    <w:rsid w:val="006A2F5B"/>
    <w:rsid w:val="006A2FE4"/>
    <w:rsid w:val="006A3007"/>
    <w:rsid w:val="006A3083"/>
    <w:rsid w:val="006A3645"/>
    <w:rsid w:val="006A37EE"/>
    <w:rsid w:val="006A3B29"/>
    <w:rsid w:val="006A4283"/>
    <w:rsid w:val="006A4FFB"/>
    <w:rsid w:val="006A5122"/>
    <w:rsid w:val="006A5579"/>
    <w:rsid w:val="006A56CC"/>
    <w:rsid w:val="006A580E"/>
    <w:rsid w:val="006A5A31"/>
    <w:rsid w:val="006A5C05"/>
    <w:rsid w:val="006A6895"/>
    <w:rsid w:val="006A7DDC"/>
    <w:rsid w:val="006A7EAC"/>
    <w:rsid w:val="006B001C"/>
    <w:rsid w:val="006B217C"/>
    <w:rsid w:val="006B25DF"/>
    <w:rsid w:val="006B2AEC"/>
    <w:rsid w:val="006B2B69"/>
    <w:rsid w:val="006B2C3D"/>
    <w:rsid w:val="006B2CD3"/>
    <w:rsid w:val="006B344F"/>
    <w:rsid w:val="006B39BD"/>
    <w:rsid w:val="006B41EE"/>
    <w:rsid w:val="006B45C9"/>
    <w:rsid w:val="006B462F"/>
    <w:rsid w:val="006B5604"/>
    <w:rsid w:val="006B585C"/>
    <w:rsid w:val="006B593C"/>
    <w:rsid w:val="006B5A67"/>
    <w:rsid w:val="006B5B62"/>
    <w:rsid w:val="006B60B4"/>
    <w:rsid w:val="006B63DC"/>
    <w:rsid w:val="006B69D5"/>
    <w:rsid w:val="006B6C44"/>
    <w:rsid w:val="006B6CA5"/>
    <w:rsid w:val="006B6ED6"/>
    <w:rsid w:val="006B705B"/>
    <w:rsid w:val="006B7489"/>
    <w:rsid w:val="006B76F9"/>
    <w:rsid w:val="006B7CDB"/>
    <w:rsid w:val="006B7ECE"/>
    <w:rsid w:val="006C0069"/>
    <w:rsid w:val="006C062A"/>
    <w:rsid w:val="006C093E"/>
    <w:rsid w:val="006C10EF"/>
    <w:rsid w:val="006C19C7"/>
    <w:rsid w:val="006C1CF2"/>
    <w:rsid w:val="006C1F2E"/>
    <w:rsid w:val="006C2322"/>
    <w:rsid w:val="006C279C"/>
    <w:rsid w:val="006C2F69"/>
    <w:rsid w:val="006C365F"/>
    <w:rsid w:val="006C4C4B"/>
    <w:rsid w:val="006C5EC7"/>
    <w:rsid w:val="006C62EC"/>
    <w:rsid w:val="006C6745"/>
    <w:rsid w:val="006C6DBA"/>
    <w:rsid w:val="006C715C"/>
    <w:rsid w:val="006C77E2"/>
    <w:rsid w:val="006C78B1"/>
    <w:rsid w:val="006D0621"/>
    <w:rsid w:val="006D0883"/>
    <w:rsid w:val="006D0ECA"/>
    <w:rsid w:val="006D16ED"/>
    <w:rsid w:val="006D1752"/>
    <w:rsid w:val="006D1A63"/>
    <w:rsid w:val="006D1B83"/>
    <w:rsid w:val="006D2E55"/>
    <w:rsid w:val="006D3B7E"/>
    <w:rsid w:val="006D42CF"/>
    <w:rsid w:val="006D42F2"/>
    <w:rsid w:val="006D482E"/>
    <w:rsid w:val="006D5A11"/>
    <w:rsid w:val="006D5AAA"/>
    <w:rsid w:val="006D5CED"/>
    <w:rsid w:val="006D6010"/>
    <w:rsid w:val="006D61FE"/>
    <w:rsid w:val="006D6578"/>
    <w:rsid w:val="006D6831"/>
    <w:rsid w:val="006D685E"/>
    <w:rsid w:val="006D69C0"/>
    <w:rsid w:val="006D7149"/>
    <w:rsid w:val="006D73CC"/>
    <w:rsid w:val="006D74B7"/>
    <w:rsid w:val="006D7529"/>
    <w:rsid w:val="006D79B4"/>
    <w:rsid w:val="006D7DC9"/>
    <w:rsid w:val="006E0381"/>
    <w:rsid w:val="006E0A2D"/>
    <w:rsid w:val="006E0C3D"/>
    <w:rsid w:val="006E1CC5"/>
    <w:rsid w:val="006E1E36"/>
    <w:rsid w:val="006E22E5"/>
    <w:rsid w:val="006E2499"/>
    <w:rsid w:val="006E2750"/>
    <w:rsid w:val="006E2802"/>
    <w:rsid w:val="006E29DD"/>
    <w:rsid w:val="006E33B0"/>
    <w:rsid w:val="006E352F"/>
    <w:rsid w:val="006E3C4E"/>
    <w:rsid w:val="006E3C71"/>
    <w:rsid w:val="006E3D31"/>
    <w:rsid w:val="006E45A2"/>
    <w:rsid w:val="006E4645"/>
    <w:rsid w:val="006E4CED"/>
    <w:rsid w:val="006E4D8D"/>
    <w:rsid w:val="006E5BA0"/>
    <w:rsid w:val="006E60F3"/>
    <w:rsid w:val="006E66A0"/>
    <w:rsid w:val="006E683A"/>
    <w:rsid w:val="006E68A1"/>
    <w:rsid w:val="006E69F8"/>
    <w:rsid w:val="006E6A82"/>
    <w:rsid w:val="006E7116"/>
    <w:rsid w:val="006E7BCC"/>
    <w:rsid w:val="006F020A"/>
    <w:rsid w:val="006F0622"/>
    <w:rsid w:val="006F07C4"/>
    <w:rsid w:val="006F0947"/>
    <w:rsid w:val="006F0993"/>
    <w:rsid w:val="006F09A0"/>
    <w:rsid w:val="006F0B20"/>
    <w:rsid w:val="006F0FB4"/>
    <w:rsid w:val="006F17B7"/>
    <w:rsid w:val="006F1AE6"/>
    <w:rsid w:val="006F1F80"/>
    <w:rsid w:val="006F25FB"/>
    <w:rsid w:val="006F2979"/>
    <w:rsid w:val="006F2AD2"/>
    <w:rsid w:val="006F2F16"/>
    <w:rsid w:val="006F33FF"/>
    <w:rsid w:val="006F361E"/>
    <w:rsid w:val="006F3636"/>
    <w:rsid w:val="006F420E"/>
    <w:rsid w:val="006F499C"/>
    <w:rsid w:val="006F4AE3"/>
    <w:rsid w:val="006F4B47"/>
    <w:rsid w:val="006F5318"/>
    <w:rsid w:val="006F5383"/>
    <w:rsid w:val="006F54A8"/>
    <w:rsid w:val="006F60F6"/>
    <w:rsid w:val="006F6C25"/>
    <w:rsid w:val="006F736C"/>
    <w:rsid w:val="006F76B3"/>
    <w:rsid w:val="006F7ADA"/>
    <w:rsid w:val="007016AB"/>
    <w:rsid w:val="00701FAF"/>
    <w:rsid w:val="00702088"/>
    <w:rsid w:val="0070233C"/>
    <w:rsid w:val="00703348"/>
    <w:rsid w:val="007033E4"/>
    <w:rsid w:val="007037FA"/>
    <w:rsid w:val="00703B75"/>
    <w:rsid w:val="00704115"/>
    <w:rsid w:val="0070498D"/>
    <w:rsid w:val="00704A7D"/>
    <w:rsid w:val="00705057"/>
    <w:rsid w:val="007051DE"/>
    <w:rsid w:val="00705658"/>
    <w:rsid w:val="007056C3"/>
    <w:rsid w:val="00705CA7"/>
    <w:rsid w:val="00706130"/>
    <w:rsid w:val="0070615A"/>
    <w:rsid w:val="00706537"/>
    <w:rsid w:val="007067C2"/>
    <w:rsid w:val="00706994"/>
    <w:rsid w:val="0070699A"/>
    <w:rsid w:val="00706F8F"/>
    <w:rsid w:val="007074A5"/>
    <w:rsid w:val="00707901"/>
    <w:rsid w:val="00707F06"/>
    <w:rsid w:val="007100AA"/>
    <w:rsid w:val="00710FF8"/>
    <w:rsid w:val="00713320"/>
    <w:rsid w:val="00714152"/>
    <w:rsid w:val="00714958"/>
    <w:rsid w:val="00715094"/>
    <w:rsid w:val="00715210"/>
    <w:rsid w:val="00715B5D"/>
    <w:rsid w:val="0071633B"/>
    <w:rsid w:val="0071675B"/>
    <w:rsid w:val="007167C9"/>
    <w:rsid w:val="00716AA9"/>
    <w:rsid w:val="00716F79"/>
    <w:rsid w:val="0071701F"/>
    <w:rsid w:val="007170D5"/>
    <w:rsid w:val="007171C1"/>
    <w:rsid w:val="0071753D"/>
    <w:rsid w:val="00717B0F"/>
    <w:rsid w:val="00717C8A"/>
    <w:rsid w:val="00720953"/>
    <w:rsid w:val="0072097C"/>
    <w:rsid w:val="00720E2D"/>
    <w:rsid w:val="00720E4D"/>
    <w:rsid w:val="00721143"/>
    <w:rsid w:val="007211FA"/>
    <w:rsid w:val="00721720"/>
    <w:rsid w:val="00721F02"/>
    <w:rsid w:val="00721F1F"/>
    <w:rsid w:val="00722024"/>
    <w:rsid w:val="00723329"/>
    <w:rsid w:val="00723546"/>
    <w:rsid w:val="00723BDD"/>
    <w:rsid w:val="00723DDD"/>
    <w:rsid w:val="007240E0"/>
    <w:rsid w:val="007246E1"/>
    <w:rsid w:val="007248F6"/>
    <w:rsid w:val="00724B3E"/>
    <w:rsid w:val="00724D5E"/>
    <w:rsid w:val="00724EB4"/>
    <w:rsid w:val="007250E8"/>
    <w:rsid w:val="00725CE8"/>
    <w:rsid w:val="00725F94"/>
    <w:rsid w:val="00725FB6"/>
    <w:rsid w:val="00726268"/>
    <w:rsid w:val="00726867"/>
    <w:rsid w:val="00726977"/>
    <w:rsid w:val="007269C4"/>
    <w:rsid w:val="007305A9"/>
    <w:rsid w:val="00731429"/>
    <w:rsid w:val="007315DD"/>
    <w:rsid w:val="00732302"/>
    <w:rsid w:val="00732CAF"/>
    <w:rsid w:val="00733540"/>
    <w:rsid w:val="007335ED"/>
    <w:rsid w:val="0073398E"/>
    <w:rsid w:val="0073405F"/>
    <w:rsid w:val="0073430F"/>
    <w:rsid w:val="00734778"/>
    <w:rsid w:val="007348F9"/>
    <w:rsid w:val="00734BFE"/>
    <w:rsid w:val="00734CEA"/>
    <w:rsid w:val="00734D14"/>
    <w:rsid w:val="00735585"/>
    <w:rsid w:val="00735690"/>
    <w:rsid w:val="00735782"/>
    <w:rsid w:val="00735CDC"/>
    <w:rsid w:val="00735FDF"/>
    <w:rsid w:val="00735FF3"/>
    <w:rsid w:val="007361EA"/>
    <w:rsid w:val="007365CF"/>
    <w:rsid w:val="00736DC1"/>
    <w:rsid w:val="0073758D"/>
    <w:rsid w:val="007375F5"/>
    <w:rsid w:val="0073770F"/>
    <w:rsid w:val="007401DB"/>
    <w:rsid w:val="007409C3"/>
    <w:rsid w:val="00740BAB"/>
    <w:rsid w:val="00740D3F"/>
    <w:rsid w:val="00741DCB"/>
    <w:rsid w:val="00742908"/>
    <w:rsid w:val="00742CCB"/>
    <w:rsid w:val="00742DD4"/>
    <w:rsid w:val="00742E45"/>
    <w:rsid w:val="00743A20"/>
    <w:rsid w:val="00743ABC"/>
    <w:rsid w:val="0074418D"/>
    <w:rsid w:val="00744705"/>
    <w:rsid w:val="00744826"/>
    <w:rsid w:val="00744907"/>
    <w:rsid w:val="00745491"/>
    <w:rsid w:val="00745939"/>
    <w:rsid w:val="00746471"/>
    <w:rsid w:val="0074689A"/>
    <w:rsid w:val="0074689F"/>
    <w:rsid w:val="00746A43"/>
    <w:rsid w:val="00746AC2"/>
    <w:rsid w:val="00746BC7"/>
    <w:rsid w:val="00746DFC"/>
    <w:rsid w:val="00747353"/>
    <w:rsid w:val="0074786E"/>
    <w:rsid w:val="00747C3D"/>
    <w:rsid w:val="0075077C"/>
    <w:rsid w:val="007509B7"/>
    <w:rsid w:val="00750CA1"/>
    <w:rsid w:val="00750E09"/>
    <w:rsid w:val="0075132C"/>
    <w:rsid w:val="00751406"/>
    <w:rsid w:val="00751461"/>
    <w:rsid w:val="00751BD6"/>
    <w:rsid w:val="00751C1F"/>
    <w:rsid w:val="00751DAE"/>
    <w:rsid w:val="0075256F"/>
    <w:rsid w:val="00752722"/>
    <w:rsid w:val="00752AFF"/>
    <w:rsid w:val="00752B83"/>
    <w:rsid w:val="007534D7"/>
    <w:rsid w:val="00753904"/>
    <w:rsid w:val="00753C10"/>
    <w:rsid w:val="00753F55"/>
    <w:rsid w:val="00754165"/>
    <w:rsid w:val="007545FE"/>
    <w:rsid w:val="00754B1D"/>
    <w:rsid w:val="00755041"/>
    <w:rsid w:val="00755229"/>
    <w:rsid w:val="00755577"/>
    <w:rsid w:val="00755966"/>
    <w:rsid w:val="00755E98"/>
    <w:rsid w:val="0075609C"/>
    <w:rsid w:val="00756385"/>
    <w:rsid w:val="00756B37"/>
    <w:rsid w:val="00756F7A"/>
    <w:rsid w:val="00757106"/>
    <w:rsid w:val="00757328"/>
    <w:rsid w:val="00757468"/>
    <w:rsid w:val="00757477"/>
    <w:rsid w:val="00757E74"/>
    <w:rsid w:val="00760445"/>
    <w:rsid w:val="00760934"/>
    <w:rsid w:val="00760F16"/>
    <w:rsid w:val="00761220"/>
    <w:rsid w:val="00762512"/>
    <w:rsid w:val="00762FFE"/>
    <w:rsid w:val="00763E5F"/>
    <w:rsid w:val="00763E8C"/>
    <w:rsid w:val="00764325"/>
    <w:rsid w:val="00764AAA"/>
    <w:rsid w:val="00765075"/>
    <w:rsid w:val="007654D2"/>
    <w:rsid w:val="00765519"/>
    <w:rsid w:val="00765BAF"/>
    <w:rsid w:val="00765BEA"/>
    <w:rsid w:val="007660D8"/>
    <w:rsid w:val="00766132"/>
    <w:rsid w:val="007667B2"/>
    <w:rsid w:val="007670A1"/>
    <w:rsid w:val="00767163"/>
    <w:rsid w:val="007676C7"/>
    <w:rsid w:val="007676EF"/>
    <w:rsid w:val="007676F0"/>
    <w:rsid w:val="00767B7B"/>
    <w:rsid w:val="00767C1E"/>
    <w:rsid w:val="007705B2"/>
    <w:rsid w:val="0077086E"/>
    <w:rsid w:val="00770E68"/>
    <w:rsid w:val="00771278"/>
    <w:rsid w:val="00771AB2"/>
    <w:rsid w:val="00773A26"/>
    <w:rsid w:val="00773E09"/>
    <w:rsid w:val="00775419"/>
    <w:rsid w:val="0077544C"/>
    <w:rsid w:val="0077630D"/>
    <w:rsid w:val="007768FE"/>
    <w:rsid w:val="007769D0"/>
    <w:rsid w:val="007772E0"/>
    <w:rsid w:val="007773F5"/>
    <w:rsid w:val="0077792B"/>
    <w:rsid w:val="00777AE9"/>
    <w:rsid w:val="00777D3C"/>
    <w:rsid w:val="00777EF7"/>
    <w:rsid w:val="00780335"/>
    <w:rsid w:val="00780FBB"/>
    <w:rsid w:val="007812FE"/>
    <w:rsid w:val="0078142F"/>
    <w:rsid w:val="00781496"/>
    <w:rsid w:val="00781CB1"/>
    <w:rsid w:val="00781DE3"/>
    <w:rsid w:val="00782608"/>
    <w:rsid w:val="00782CAC"/>
    <w:rsid w:val="007831A2"/>
    <w:rsid w:val="00783610"/>
    <w:rsid w:val="0078390D"/>
    <w:rsid w:val="00783B36"/>
    <w:rsid w:val="00783D93"/>
    <w:rsid w:val="007840EB"/>
    <w:rsid w:val="00784141"/>
    <w:rsid w:val="00784268"/>
    <w:rsid w:val="00784472"/>
    <w:rsid w:val="00784916"/>
    <w:rsid w:val="007849AA"/>
    <w:rsid w:val="00784FE5"/>
    <w:rsid w:val="007854D7"/>
    <w:rsid w:val="00785617"/>
    <w:rsid w:val="00785DCA"/>
    <w:rsid w:val="0078633A"/>
    <w:rsid w:val="00786472"/>
    <w:rsid w:val="0078657E"/>
    <w:rsid w:val="007867AF"/>
    <w:rsid w:val="00786A51"/>
    <w:rsid w:val="00786B42"/>
    <w:rsid w:val="00787164"/>
    <w:rsid w:val="00787265"/>
    <w:rsid w:val="007877B4"/>
    <w:rsid w:val="0079008C"/>
    <w:rsid w:val="00790443"/>
    <w:rsid w:val="00790682"/>
    <w:rsid w:val="00790970"/>
    <w:rsid w:val="00790DD9"/>
    <w:rsid w:val="007911E3"/>
    <w:rsid w:val="00791DDF"/>
    <w:rsid w:val="00792492"/>
    <w:rsid w:val="0079380C"/>
    <w:rsid w:val="00794826"/>
    <w:rsid w:val="007954B6"/>
    <w:rsid w:val="00795522"/>
    <w:rsid w:val="007958DF"/>
    <w:rsid w:val="00795CB1"/>
    <w:rsid w:val="00796137"/>
    <w:rsid w:val="0079629B"/>
    <w:rsid w:val="00796433"/>
    <w:rsid w:val="00796901"/>
    <w:rsid w:val="0079742C"/>
    <w:rsid w:val="00797836"/>
    <w:rsid w:val="00797B17"/>
    <w:rsid w:val="00797E53"/>
    <w:rsid w:val="007A017E"/>
    <w:rsid w:val="007A0381"/>
    <w:rsid w:val="007A0599"/>
    <w:rsid w:val="007A180A"/>
    <w:rsid w:val="007A18FF"/>
    <w:rsid w:val="007A19D5"/>
    <w:rsid w:val="007A1FCF"/>
    <w:rsid w:val="007A209D"/>
    <w:rsid w:val="007A23D1"/>
    <w:rsid w:val="007A2443"/>
    <w:rsid w:val="007A2516"/>
    <w:rsid w:val="007A26A3"/>
    <w:rsid w:val="007A2CD7"/>
    <w:rsid w:val="007A3488"/>
    <w:rsid w:val="007A37EC"/>
    <w:rsid w:val="007A3E6D"/>
    <w:rsid w:val="007A3F74"/>
    <w:rsid w:val="007A4794"/>
    <w:rsid w:val="007A4E94"/>
    <w:rsid w:val="007A4F1D"/>
    <w:rsid w:val="007A52EB"/>
    <w:rsid w:val="007A5354"/>
    <w:rsid w:val="007A5638"/>
    <w:rsid w:val="007A58A3"/>
    <w:rsid w:val="007A64D3"/>
    <w:rsid w:val="007A66A2"/>
    <w:rsid w:val="007A688E"/>
    <w:rsid w:val="007A6E5B"/>
    <w:rsid w:val="007A70F2"/>
    <w:rsid w:val="007A7510"/>
    <w:rsid w:val="007A7A8C"/>
    <w:rsid w:val="007A7BE6"/>
    <w:rsid w:val="007A7EF0"/>
    <w:rsid w:val="007B01F3"/>
    <w:rsid w:val="007B0B42"/>
    <w:rsid w:val="007B1231"/>
    <w:rsid w:val="007B129F"/>
    <w:rsid w:val="007B1C60"/>
    <w:rsid w:val="007B1CC2"/>
    <w:rsid w:val="007B24E1"/>
    <w:rsid w:val="007B2EBD"/>
    <w:rsid w:val="007B2F32"/>
    <w:rsid w:val="007B34E2"/>
    <w:rsid w:val="007B41F9"/>
    <w:rsid w:val="007B4545"/>
    <w:rsid w:val="007B481C"/>
    <w:rsid w:val="007B493E"/>
    <w:rsid w:val="007B5A33"/>
    <w:rsid w:val="007B63B9"/>
    <w:rsid w:val="007B694E"/>
    <w:rsid w:val="007B70A6"/>
    <w:rsid w:val="007B72D1"/>
    <w:rsid w:val="007B75BD"/>
    <w:rsid w:val="007B7EE4"/>
    <w:rsid w:val="007C062F"/>
    <w:rsid w:val="007C0C32"/>
    <w:rsid w:val="007C0DEF"/>
    <w:rsid w:val="007C13FC"/>
    <w:rsid w:val="007C1703"/>
    <w:rsid w:val="007C2230"/>
    <w:rsid w:val="007C24AC"/>
    <w:rsid w:val="007C2B02"/>
    <w:rsid w:val="007C359A"/>
    <w:rsid w:val="007C35BA"/>
    <w:rsid w:val="007C3615"/>
    <w:rsid w:val="007C3764"/>
    <w:rsid w:val="007C3BC4"/>
    <w:rsid w:val="007C3CE3"/>
    <w:rsid w:val="007C3F7A"/>
    <w:rsid w:val="007C4443"/>
    <w:rsid w:val="007C4789"/>
    <w:rsid w:val="007C4836"/>
    <w:rsid w:val="007C4BFE"/>
    <w:rsid w:val="007C4D29"/>
    <w:rsid w:val="007C4F06"/>
    <w:rsid w:val="007C52BD"/>
    <w:rsid w:val="007C58F5"/>
    <w:rsid w:val="007C5B01"/>
    <w:rsid w:val="007C5E1A"/>
    <w:rsid w:val="007C5EB0"/>
    <w:rsid w:val="007C6AE6"/>
    <w:rsid w:val="007C6E73"/>
    <w:rsid w:val="007C6E91"/>
    <w:rsid w:val="007C7694"/>
    <w:rsid w:val="007C76B4"/>
    <w:rsid w:val="007C7986"/>
    <w:rsid w:val="007C7EB5"/>
    <w:rsid w:val="007D01B8"/>
    <w:rsid w:val="007D01F7"/>
    <w:rsid w:val="007D027F"/>
    <w:rsid w:val="007D0590"/>
    <w:rsid w:val="007D06A9"/>
    <w:rsid w:val="007D0BBA"/>
    <w:rsid w:val="007D1487"/>
    <w:rsid w:val="007D15DE"/>
    <w:rsid w:val="007D2054"/>
    <w:rsid w:val="007D2728"/>
    <w:rsid w:val="007D2762"/>
    <w:rsid w:val="007D3846"/>
    <w:rsid w:val="007D3C4E"/>
    <w:rsid w:val="007D3D26"/>
    <w:rsid w:val="007D4142"/>
    <w:rsid w:val="007D4A28"/>
    <w:rsid w:val="007D4C04"/>
    <w:rsid w:val="007D4F36"/>
    <w:rsid w:val="007D4F9B"/>
    <w:rsid w:val="007D503F"/>
    <w:rsid w:val="007D53DF"/>
    <w:rsid w:val="007D5C96"/>
    <w:rsid w:val="007D65BC"/>
    <w:rsid w:val="007D672F"/>
    <w:rsid w:val="007D6E25"/>
    <w:rsid w:val="007D7E97"/>
    <w:rsid w:val="007E0B6C"/>
    <w:rsid w:val="007E0DB1"/>
    <w:rsid w:val="007E1761"/>
    <w:rsid w:val="007E17B7"/>
    <w:rsid w:val="007E17F3"/>
    <w:rsid w:val="007E1936"/>
    <w:rsid w:val="007E2114"/>
    <w:rsid w:val="007E24AF"/>
    <w:rsid w:val="007E295A"/>
    <w:rsid w:val="007E2DC5"/>
    <w:rsid w:val="007E324C"/>
    <w:rsid w:val="007E3F1F"/>
    <w:rsid w:val="007E46A3"/>
    <w:rsid w:val="007E4C52"/>
    <w:rsid w:val="007E518A"/>
    <w:rsid w:val="007E5514"/>
    <w:rsid w:val="007E5830"/>
    <w:rsid w:val="007E5F68"/>
    <w:rsid w:val="007E6311"/>
    <w:rsid w:val="007E688E"/>
    <w:rsid w:val="007E705D"/>
    <w:rsid w:val="007E721F"/>
    <w:rsid w:val="007E7687"/>
    <w:rsid w:val="007E76B3"/>
    <w:rsid w:val="007E7843"/>
    <w:rsid w:val="007E7DCC"/>
    <w:rsid w:val="007E7E68"/>
    <w:rsid w:val="007F0545"/>
    <w:rsid w:val="007F0BD8"/>
    <w:rsid w:val="007F0D54"/>
    <w:rsid w:val="007F1496"/>
    <w:rsid w:val="007F172E"/>
    <w:rsid w:val="007F20FE"/>
    <w:rsid w:val="007F2921"/>
    <w:rsid w:val="007F3183"/>
    <w:rsid w:val="007F3EFB"/>
    <w:rsid w:val="007F4C71"/>
    <w:rsid w:val="007F51C6"/>
    <w:rsid w:val="007F59B4"/>
    <w:rsid w:val="007F6638"/>
    <w:rsid w:val="007F6AE3"/>
    <w:rsid w:val="007F6BAF"/>
    <w:rsid w:val="007F7262"/>
    <w:rsid w:val="00800516"/>
    <w:rsid w:val="00800ED7"/>
    <w:rsid w:val="00801148"/>
    <w:rsid w:val="00801ED3"/>
    <w:rsid w:val="0080222A"/>
    <w:rsid w:val="008022F6"/>
    <w:rsid w:val="00802847"/>
    <w:rsid w:val="008028BB"/>
    <w:rsid w:val="00804595"/>
    <w:rsid w:val="0080463F"/>
    <w:rsid w:val="00804AE9"/>
    <w:rsid w:val="00804E58"/>
    <w:rsid w:val="00804EE9"/>
    <w:rsid w:val="00805C00"/>
    <w:rsid w:val="00805C54"/>
    <w:rsid w:val="00806445"/>
    <w:rsid w:val="00807099"/>
    <w:rsid w:val="0080732F"/>
    <w:rsid w:val="008076B3"/>
    <w:rsid w:val="00807743"/>
    <w:rsid w:val="0080774E"/>
    <w:rsid w:val="00807C0D"/>
    <w:rsid w:val="0081089B"/>
    <w:rsid w:val="00810E03"/>
    <w:rsid w:val="008112B2"/>
    <w:rsid w:val="00811E41"/>
    <w:rsid w:val="00813E16"/>
    <w:rsid w:val="00814434"/>
    <w:rsid w:val="0081474C"/>
    <w:rsid w:val="008147C7"/>
    <w:rsid w:val="00814E3C"/>
    <w:rsid w:val="0081500A"/>
    <w:rsid w:val="00815035"/>
    <w:rsid w:val="008152CE"/>
    <w:rsid w:val="00815506"/>
    <w:rsid w:val="00815CE8"/>
    <w:rsid w:val="00815D34"/>
    <w:rsid w:val="0081634E"/>
    <w:rsid w:val="0081672E"/>
    <w:rsid w:val="00816EEF"/>
    <w:rsid w:val="00817071"/>
    <w:rsid w:val="0081712A"/>
    <w:rsid w:val="00817968"/>
    <w:rsid w:val="00817C33"/>
    <w:rsid w:val="00820B39"/>
    <w:rsid w:val="00820C96"/>
    <w:rsid w:val="0082102A"/>
    <w:rsid w:val="00821738"/>
    <w:rsid w:val="00821DCB"/>
    <w:rsid w:val="00822043"/>
    <w:rsid w:val="008220A4"/>
    <w:rsid w:val="0082299C"/>
    <w:rsid w:val="00822B26"/>
    <w:rsid w:val="00822E56"/>
    <w:rsid w:val="008235BA"/>
    <w:rsid w:val="0082377D"/>
    <w:rsid w:val="00823BCC"/>
    <w:rsid w:val="00823F02"/>
    <w:rsid w:val="00824C1B"/>
    <w:rsid w:val="00824FB5"/>
    <w:rsid w:val="00825077"/>
    <w:rsid w:val="008250CD"/>
    <w:rsid w:val="008257C0"/>
    <w:rsid w:val="00826004"/>
    <w:rsid w:val="0082631F"/>
    <w:rsid w:val="00826C4D"/>
    <w:rsid w:val="00830D58"/>
    <w:rsid w:val="00831362"/>
    <w:rsid w:val="00832D4D"/>
    <w:rsid w:val="00832E73"/>
    <w:rsid w:val="00832ECB"/>
    <w:rsid w:val="00833867"/>
    <w:rsid w:val="00833FA4"/>
    <w:rsid w:val="0083433E"/>
    <w:rsid w:val="008343DF"/>
    <w:rsid w:val="00834682"/>
    <w:rsid w:val="00834E42"/>
    <w:rsid w:val="00834EA3"/>
    <w:rsid w:val="00834F6A"/>
    <w:rsid w:val="00835CE9"/>
    <w:rsid w:val="00835FB0"/>
    <w:rsid w:val="00836130"/>
    <w:rsid w:val="00836201"/>
    <w:rsid w:val="00836291"/>
    <w:rsid w:val="00836641"/>
    <w:rsid w:val="00836729"/>
    <w:rsid w:val="00836BA4"/>
    <w:rsid w:val="00836DC3"/>
    <w:rsid w:val="00837ABF"/>
    <w:rsid w:val="00837B59"/>
    <w:rsid w:val="00837D3F"/>
    <w:rsid w:val="008402F2"/>
    <w:rsid w:val="00840DC6"/>
    <w:rsid w:val="00841394"/>
    <w:rsid w:val="00842BC0"/>
    <w:rsid w:val="00843215"/>
    <w:rsid w:val="00843286"/>
    <w:rsid w:val="008435C9"/>
    <w:rsid w:val="00843A74"/>
    <w:rsid w:val="00844475"/>
    <w:rsid w:val="00844D07"/>
    <w:rsid w:val="0084549C"/>
    <w:rsid w:val="008458EE"/>
    <w:rsid w:val="00845A1A"/>
    <w:rsid w:val="00845B1F"/>
    <w:rsid w:val="008460D6"/>
    <w:rsid w:val="008462C6"/>
    <w:rsid w:val="0084661C"/>
    <w:rsid w:val="00846A43"/>
    <w:rsid w:val="00846AD3"/>
    <w:rsid w:val="00846FFD"/>
    <w:rsid w:val="00847204"/>
    <w:rsid w:val="00847BC6"/>
    <w:rsid w:val="00847CD9"/>
    <w:rsid w:val="008501A3"/>
    <w:rsid w:val="00850C12"/>
    <w:rsid w:val="0085185C"/>
    <w:rsid w:val="00851AAB"/>
    <w:rsid w:val="00851F86"/>
    <w:rsid w:val="00852092"/>
    <w:rsid w:val="008521DD"/>
    <w:rsid w:val="0085231C"/>
    <w:rsid w:val="00852FAF"/>
    <w:rsid w:val="0085307A"/>
    <w:rsid w:val="008532BC"/>
    <w:rsid w:val="00853602"/>
    <w:rsid w:val="00853FAF"/>
    <w:rsid w:val="0085452C"/>
    <w:rsid w:val="00854686"/>
    <w:rsid w:val="00855B54"/>
    <w:rsid w:val="00855EBE"/>
    <w:rsid w:val="00856190"/>
    <w:rsid w:val="008565FC"/>
    <w:rsid w:val="0085688E"/>
    <w:rsid w:val="00856956"/>
    <w:rsid w:val="00856C8C"/>
    <w:rsid w:val="0085738C"/>
    <w:rsid w:val="00857F43"/>
    <w:rsid w:val="00860329"/>
    <w:rsid w:val="00860684"/>
    <w:rsid w:val="00861005"/>
    <w:rsid w:val="008611E1"/>
    <w:rsid w:val="0086147C"/>
    <w:rsid w:val="00862131"/>
    <w:rsid w:val="00862583"/>
    <w:rsid w:val="0086376C"/>
    <w:rsid w:val="00864097"/>
    <w:rsid w:val="008641F4"/>
    <w:rsid w:val="00864444"/>
    <w:rsid w:val="0086459A"/>
    <w:rsid w:val="00865404"/>
    <w:rsid w:val="00865463"/>
    <w:rsid w:val="00865B52"/>
    <w:rsid w:val="0086611A"/>
    <w:rsid w:val="00866150"/>
    <w:rsid w:val="0086658E"/>
    <w:rsid w:val="00866B48"/>
    <w:rsid w:val="00866DFA"/>
    <w:rsid w:val="00867768"/>
    <w:rsid w:val="00867963"/>
    <w:rsid w:val="0086A8A2"/>
    <w:rsid w:val="00870F55"/>
    <w:rsid w:val="00871044"/>
    <w:rsid w:val="00871469"/>
    <w:rsid w:val="00871F51"/>
    <w:rsid w:val="008722AE"/>
    <w:rsid w:val="008723B5"/>
    <w:rsid w:val="00872A14"/>
    <w:rsid w:val="00873421"/>
    <w:rsid w:val="008734AE"/>
    <w:rsid w:val="008738C9"/>
    <w:rsid w:val="00873A14"/>
    <w:rsid w:val="0087406E"/>
    <w:rsid w:val="00874673"/>
    <w:rsid w:val="00874722"/>
    <w:rsid w:val="00874BA4"/>
    <w:rsid w:val="0087549B"/>
    <w:rsid w:val="00875A8F"/>
    <w:rsid w:val="00875C6A"/>
    <w:rsid w:val="00876017"/>
    <w:rsid w:val="00876258"/>
    <w:rsid w:val="00876D61"/>
    <w:rsid w:val="00877251"/>
    <w:rsid w:val="00877701"/>
    <w:rsid w:val="0087770C"/>
    <w:rsid w:val="00877867"/>
    <w:rsid w:val="008778A0"/>
    <w:rsid w:val="00880615"/>
    <w:rsid w:val="0088128C"/>
    <w:rsid w:val="008812B8"/>
    <w:rsid w:val="00881A8F"/>
    <w:rsid w:val="00881CC3"/>
    <w:rsid w:val="008825D8"/>
    <w:rsid w:val="00882781"/>
    <w:rsid w:val="00882BFE"/>
    <w:rsid w:val="00882E75"/>
    <w:rsid w:val="008831FA"/>
    <w:rsid w:val="00884319"/>
    <w:rsid w:val="0088458F"/>
    <w:rsid w:val="008845F5"/>
    <w:rsid w:val="0088472A"/>
    <w:rsid w:val="0088509A"/>
    <w:rsid w:val="008855C6"/>
    <w:rsid w:val="0088569D"/>
    <w:rsid w:val="00885D8C"/>
    <w:rsid w:val="00885DB3"/>
    <w:rsid w:val="00885DBF"/>
    <w:rsid w:val="0088635C"/>
    <w:rsid w:val="008866D2"/>
    <w:rsid w:val="008869CA"/>
    <w:rsid w:val="00886E62"/>
    <w:rsid w:val="00886FB0"/>
    <w:rsid w:val="008870FF"/>
    <w:rsid w:val="00887403"/>
    <w:rsid w:val="0088746E"/>
    <w:rsid w:val="0088763C"/>
    <w:rsid w:val="00887EEB"/>
    <w:rsid w:val="00887F9A"/>
    <w:rsid w:val="008900FE"/>
    <w:rsid w:val="00890554"/>
    <w:rsid w:val="00890E3B"/>
    <w:rsid w:val="008917D2"/>
    <w:rsid w:val="008917E4"/>
    <w:rsid w:val="00892319"/>
    <w:rsid w:val="008932CE"/>
    <w:rsid w:val="00893F96"/>
    <w:rsid w:val="008944A7"/>
    <w:rsid w:val="008944BF"/>
    <w:rsid w:val="00894ADF"/>
    <w:rsid w:val="00894C64"/>
    <w:rsid w:val="008952ED"/>
    <w:rsid w:val="008956CE"/>
    <w:rsid w:val="00895D82"/>
    <w:rsid w:val="00895DD6"/>
    <w:rsid w:val="0089610F"/>
    <w:rsid w:val="008966DD"/>
    <w:rsid w:val="00896C53"/>
    <w:rsid w:val="008975BF"/>
    <w:rsid w:val="00897D85"/>
    <w:rsid w:val="008A1C98"/>
    <w:rsid w:val="008A22EA"/>
    <w:rsid w:val="008A2314"/>
    <w:rsid w:val="008A2AE1"/>
    <w:rsid w:val="008A2C65"/>
    <w:rsid w:val="008A2DC5"/>
    <w:rsid w:val="008A375D"/>
    <w:rsid w:val="008A3AB8"/>
    <w:rsid w:val="008A4127"/>
    <w:rsid w:val="008A5439"/>
    <w:rsid w:val="008A5969"/>
    <w:rsid w:val="008A61E8"/>
    <w:rsid w:val="008A6456"/>
    <w:rsid w:val="008A7192"/>
    <w:rsid w:val="008A72BC"/>
    <w:rsid w:val="008A7472"/>
    <w:rsid w:val="008A76C4"/>
    <w:rsid w:val="008A7F12"/>
    <w:rsid w:val="008B0005"/>
    <w:rsid w:val="008B1631"/>
    <w:rsid w:val="008B1BB7"/>
    <w:rsid w:val="008B1E56"/>
    <w:rsid w:val="008B27EF"/>
    <w:rsid w:val="008B2932"/>
    <w:rsid w:val="008B297D"/>
    <w:rsid w:val="008B356E"/>
    <w:rsid w:val="008B3E13"/>
    <w:rsid w:val="008B3F17"/>
    <w:rsid w:val="008B44BA"/>
    <w:rsid w:val="008B44C4"/>
    <w:rsid w:val="008B5428"/>
    <w:rsid w:val="008B5796"/>
    <w:rsid w:val="008B6417"/>
    <w:rsid w:val="008B66CE"/>
    <w:rsid w:val="008B72CB"/>
    <w:rsid w:val="008B771D"/>
    <w:rsid w:val="008B7EFC"/>
    <w:rsid w:val="008C0421"/>
    <w:rsid w:val="008C046A"/>
    <w:rsid w:val="008C0732"/>
    <w:rsid w:val="008C09C2"/>
    <w:rsid w:val="008C125B"/>
    <w:rsid w:val="008C173E"/>
    <w:rsid w:val="008C1C2A"/>
    <w:rsid w:val="008C2215"/>
    <w:rsid w:val="008C2480"/>
    <w:rsid w:val="008C2831"/>
    <w:rsid w:val="008C29EF"/>
    <w:rsid w:val="008C2B19"/>
    <w:rsid w:val="008C2BDA"/>
    <w:rsid w:val="008C2BE3"/>
    <w:rsid w:val="008C3253"/>
    <w:rsid w:val="008C32E6"/>
    <w:rsid w:val="008C34E1"/>
    <w:rsid w:val="008C3983"/>
    <w:rsid w:val="008C3AC7"/>
    <w:rsid w:val="008C4231"/>
    <w:rsid w:val="008C429F"/>
    <w:rsid w:val="008C43C7"/>
    <w:rsid w:val="008C4ACE"/>
    <w:rsid w:val="008C4D47"/>
    <w:rsid w:val="008C4FB5"/>
    <w:rsid w:val="008C584A"/>
    <w:rsid w:val="008C599B"/>
    <w:rsid w:val="008C5D94"/>
    <w:rsid w:val="008C5DCD"/>
    <w:rsid w:val="008C5DE1"/>
    <w:rsid w:val="008C67D1"/>
    <w:rsid w:val="008C68F2"/>
    <w:rsid w:val="008C781A"/>
    <w:rsid w:val="008C7829"/>
    <w:rsid w:val="008C7EFE"/>
    <w:rsid w:val="008D04D4"/>
    <w:rsid w:val="008D070C"/>
    <w:rsid w:val="008D1385"/>
    <w:rsid w:val="008D14BF"/>
    <w:rsid w:val="008D1A60"/>
    <w:rsid w:val="008D2A08"/>
    <w:rsid w:val="008D2CB5"/>
    <w:rsid w:val="008D3340"/>
    <w:rsid w:val="008D354B"/>
    <w:rsid w:val="008D3A5B"/>
    <w:rsid w:val="008D4C4F"/>
    <w:rsid w:val="008D517D"/>
    <w:rsid w:val="008D518F"/>
    <w:rsid w:val="008D5263"/>
    <w:rsid w:val="008D580D"/>
    <w:rsid w:val="008D5835"/>
    <w:rsid w:val="008D5A76"/>
    <w:rsid w:val="008D5D46"/>
    <w:rsid w:val="008D60BF"/>
    <w:rsid w:val="008D6151"/>
    <w:rsid w:val="008D65AA"/>
    <w:rsid w:val="008D6D0C"/>
    <w:rsid w:val="008D6EE0"/>
    <w:rsid w:val="008D6EFA"/>
    <w:rsid w:val="008D7FA4"/>
    <w:rsid w:val="008D7FBE"/>
    <w:rsid w:val="008E00F2"/>
    <w:rsid w:val="008E0933"/>
    <w:rsid w:val="008E0E1D"/>
    <w:rsid w:val="008E0E7E"/>
    <w:rsid w:val="008E1436"/>
    <w:rsid w:val="008E1A18"/>
    <w:rsid w:val="008E1E31"/>
    <w:rsid w:val="008E1F99"/>
    <w:rsid w:val="008E2A27"/>
    <w:rsid w:val="008E366E"/>
    <w:rsid w:val="008E373C"/>
    <w:rsid w:val="008E3B6D"/>
    <w:rsid w:val="008E3DDF"/>
    <w:rsid w:val="008E43D4"/>
    <w:rsid w:val="008E4752"/>
    <w:rsid w:val="008E4B6C"/>
    <w:rsid w:val="008E54D2"/>
    <w:rsid w:val="008E54FB"/>
    <w:rsid w:val="008E55D4"/>
    <w:rsid w:val="008E5860"/>
    <w:rsid w:val="008E5E96"/>
    <w:rsid w:val="008E657F"/>
    <w:rsid w:val="008E6A10"/>
    <w:rsid w:val="008E73E9"/>
    <w:rsid w:val="008E7A0E"/>
    <w:rsid w:val="008E7A4A"/>
    <w:rsid w:val="008F013D"/>
    <w:rsid w:val="008F05A2"/>
    <w:rsid w:val="008F0787"/>
    <w:rsid w:val="008F10F1"/>
    <w:rsid w:val="008F20C9"/>
    <w:rsid w:val="008F237A"/>
    <w:rsid w:val="008F303D"/>
    <w:rsid w:val="008F3536"/>
    <w:rsid w:val="008F394F"/>
    <w:rsid w:val="008F5759"/>
    <w:rsid w:val="008F5983"/>
    <w:rsid w:val="008F5A10"/>
    <w:rsid w:val="008F6863"/>
    <w:rsid w:val="008F6A31"/>
    <w:rsid w:val="008F7CC6"/>
    <w:rsid w:val="008F7CD9"/>
    <w:rsid w:val="008F7E0B"/>
    <w:rsid w:val="008F7EEA"/>
    <w:rsid w:val="00900321"/>
    <w:rsid w:val="00900BF5"/>
    <w:rsid w:val="009010C7"/>
    <w:rsid w:val="0090136B"/>
    <w:rsid w:val="009013A6"/>
    <w:rsid w:val="00901C28"/>
    <w:rsid w:val="00901E91"/>
    <w:rsid w:val="00901F56"/>
    <w:rsid w:val="0090202C"/>
    <w:rsid w:val="00902446"/>
    <w:rsid w:val="009028BE"/>
    <w:rsid w:val="009035F3"/>
    <w:rsid w:val="00904418"/>
    <w:rsid w:val="0090560F"/>
    <w:rsid w:val="00906182"/>
    <w:rsid w:val="0090636E"/>
    <w:rsid w:val="00906485"/>
    <w:rsid w:val="00906B3E"/>
    <w:rsid w:val="009071EC"/>
    <w:rsid w:val="009074E5"/>
    <w:rsid w:val="009077C4"/>
    <w:rsid w:val="009078BF"/>
    <w:rsid w:val="00907DDC"/>
    <w:rsid w:val="009100DF"/>
    <w:rsid w:val="0091032D"/>
    <w:rsid w:val="00910665"/>
    <w:rsid w:val="00910D24"/>
    <w:rsid w:val="00911391"/>
    <w:rsid w:val="0091164B"/>
    <w:rsid w:val="009116AD"/>
    <w:rsid w:val="0091241E"/>
    <w:rsid w:val="00912CCD"/>
    <w:rsid w:val="00912ED0"/>
    <w:rsid w:val="00913015"/>
    <w:rsid w:val="00913ED1"/>
    <w:rsid w:val="00913FF8"/>
    <w:rsid w:val="009142DF"/>
    <w:rsid w:val="009147AC"/>
    <w:rsid w:val="00914D6A"/>
    <w:rsid w:val="0091556C"/>
    <w:rsid w:val="0091567B"/>
    <w:rsid w:val="0091573F"/>
    <w:rsid w:val="00915743"/>
    <w:rsid w:val="009158DB"/>
    <w:rsid w:val="00915C32"/>
    <w:rsid w:val="0091647C"/>
    <w:rsid w:val="00916626"/>
    <w:rsid w:val="00916F29"/>
    <w:rsid w:val="009170F2"/>
    <w:rsid w:val="00917505"/>
    <w:rsid w:val="009201E3"/>
    <w:rsid w:val="00920502"/>
    <w:rsid w:val="00920DEE"/>
    <w:rsid w:val="00921565"/>
    <w:rsid w:val="00921597"/>
    <w:rsid w:val="00921B14"/>
    <w:rsid w:val="00921FEC"/>
    <w:rsid w:val="009221FA"/>
    <w:rsid w:val="00922465"/>
    <w:rsid w:val="00922991"/>
    <w:rsid w:val="00922E30"/>
    <w:rsid w:val="009231DD"/>
    <w:rsid w:val="00923356"/>
    <w:rsid w:val="00923B37"/>
    <w:rsid w:val="00923BEB"/>
    <w:rsid w:val="00923C1E"/>
    <w:rsid w:val="0092404F"/>
    <w:rsid w:val="009241B2"/>
    <w:rsid w:val="0092423F"/>
    <w:rsid w:val="00924673"/>
    <w:rsid w:val="009247DF"/>
    <w:rsid w:val="00924BC6"/>
    <w:rsid w:val="00924BF6"/>
    <w:rsid w:val="00924D1D"/>
    <w:rsid w:val="00924F98"/>
    <w:rsid w:val="00925972"/>
    <w:rsid w:val="00925A96"/>
    <w:rsid w:val="009260EA"/>
    <w:rsid w:val="009267AA"/>
    <w:rsid w:val="00926CEB"/>
    <w:rsid w:val="00927155"/>
    <w:rsid w:val="009278B7"/>
    <w:rsid w:val="00930335"/>
    <w:rsid w:val="0093077B"/>
    <w:rsid w:val="009308D8"/>
    <w:rsid w:val="00930BAB"/>
    <w:rsid w:val="00930BFA"/>
    <w:rsid w:val="009313AB"/>
    <w:rsid w:val="009315CD"/>
    <w:rsid w:val="009315F2"/>
    <w:rsid w:val="00931657"/>
    <w:rsid w:val="0093191B"/>
    <w:rsid w:val="00932248"/>
    <w:rsid w:val="00932774"/>
    <w:rsid w:val="00932991"/>
    <w:rsid w:val="00933279"/>
    <w:rsid w:val="0093479E"/>
    <w:rsid w:val="009347C6"/>
    <w:rsid w:val="00934982"/>
    <w:rsid w:val="009350DE"/>
    <w:rsid w:val="00935288"/>
    <w:rsid w:val="00935AB0"/>
    <w:rsid w:val="00935B00"/>
    <w:rsid w:val="009363C2"/>
    <w:rsid w:val="00936422"/>
    <w:rsid w:val="00936559"/>
    <w:rsid w:val="00936571"/>
    <w:rsid w:val="009366A8"/>
    <w:rsid w:val="00936B54"/>
    <w:rsid w:val="00936CDA"/>
    <w:rsid w:val="009371DC"/>
    <w:rsid w:val="00937337"/>
    <w:rsid w:val="009377A9"/>
    <w:rsid w:val="0094001A"/>
    <w:rsid w:val="009403FB"/>
    <w:rsid w:val="009409AA"/>
    <w:rsid w:val="00940B29"/>
    <w:rsid w:val="00940BE8"/>
    <w:rsid w:val="00940CDE"/>
    <w:rsid w:val="00940D7E"/>
    <w:rsid w:val="009410C3"/>
    <w:rsid w:val="009412DE"/>
    <w:rsid w:val="00941352"/>
    <w:rsid w:val="009419BD"/>
    <w:rsid w:val="00941EEA"/>
    <w:rsid w:val="00941FFA"/>
    <w:rsid w:val="00942172"/>
    <w:rsid w:val="009423C6"/>
    <w:rsid w:val="009424C8"/>
    <w:rsid w:val="009428A6"/>
    <w:rsid w:val="00943305"/>
    <w:rsid w:val="00943F66"/>
    <w:rsid w:val="00944274"/>
    <w:rsid w:val="00944368"/>
    <w:rsid w:val="009443C9"/>
    <w:rsid w:val="0094445E"/>
    <w:rsid w:val="00944479"/>
    <w:rsid w:val="00944D24"/>
    <w:rsid w:val="0094501F"/>
    <w:rsid w:val="00945144"/>
    <w:rsid w:val="009456E9"/>
    <w:rsid w:val="00945858"/>
    <w:rsid w:val="00945D4B"/>
    <w:rsid w:val="00946605"/>
    <w:rsid w:val="00946764"/>
    <w:rsid w:val="00947180"/>
    <w:rsid w:val="00947532"/>
    <w:rsid w:val="00947B81"/>
    <w:rsid w:val="0095032A"/>
    <w:rsid w:val="0095060B"/>
    <w:rsid w:val="00950DF7"/>
    <w:rsid w:val="00951980"/>
    <w:rsid w:val="00951C78"/>
    <w:rsid w:val="00951CC3"/>
    <w:rsid w:val="00952AA8"/>
    <w:rsid w:val="00952ACD"/>
    <w:rsid w:val="00952F66"/>
    <w:rsid w:val="009530CD"/>
    <w:rsid w:val="009539D7"/>
    <w:rsid w:val="00953BFF"/>
    <w:rsid w:val="00953FEB"/>
    <w:rsid w:val="00954017"/>
    <w:rsid w:val="009542EF"/>
    <w:rsid w:val="00954427"/>
    <w:rsid w:val="00955290"/>
    <w:rsid w:val="009556D5"/>
    <w:rsid w:val="00955EBE"/>
    <w:rsid w:val="00956306"/>
    <w:rsid w:val="0095698A"/>
    <w:rsid w:val="00956BCB"/>
    <w:rsid w:val="00956D0E"/>
    <w:rsid w:val="00956DEA"/>
    <w:rsid w:val="00956F92"/>
    <w:rsid w:val="00957997"/>
    <w:rsid w:val="00957FFE"/>
    <w:rsid w:val="0096025A"/>
    <w:rsid w:val="0096033E"/>
    <w:rsid w:val="00961774"/>
    <w:rsid w:val="00961E9E"/>
    <w:rsid w:val="009621FB"/>
    <w:rsid w:val="00962F7D"/>
    <w:rsid w:val="00962F9A"/>
    <w:rsid w:val="009636C1"/>
    <w:rsid w:val="00963AA6"/>
    <w:rsid w:val="00963D14"/>
    <w:rsid w:val="00963DFF"/>
    <w:rsid w:val="009645A8"/>
    <w:rsid w:val="00964E25"/>
    <w:rsid w:val="00964EC5"/>
    <w:rsid w:val="00965E07"/>
    <w:rsid w:val="0096682D"/>
    <w:rsid w:val="00966C28"/>
    <w:rsid w:val="00966D26"/>
    <w:rsid w:val="00966D36"/>
    <w:rsid w:val="00967189"/>
    <w:rsid w:val="009671F5"/>
    <w:rsid w:val="00967722"/>
    <w:rsid w:val="00967848"/>
    <w:rsid w:val="00967C08"/>
    <w:rsid w:val="0097114C"/>
    <w:rsid w:val="009717DE"/>
    <w:rsid w:val="00972446"/>
    <w:rsid w:val="00972C7F"/>
    <w:rsid w:val="00972EEF"/>
    <w:rsid w:val="00973369"/>
    <w:rsid w:val="00973D94"/>
    <w:rsid w:val="00973E85"/>
    <w:rsid w:val="009741A9"/>
    <w:rsid w:val="009759BB"/>
    <w:rsid w:val="00975A3D"/>
    <w:rsid w:val="00975B5B"/>
    <w:rsid w:val="00975DAA"/>
    <w:rsid w:val="00976274"/>
    <w:rsid w:val="00977018"/>
    <w:rsid w:val="00977682"/>
    <w:rsid w:val="00977F14"/>
    <w:rsid w:val="00980152"/>
    <w:rsid w:val="00980438"/>
    <w:rsid w:val="00980581"/>
    <w:rsid w:val="00980605"/>
    <w:rsid w:val="009819DC"/>
    <w:rsid w:val="00981BAE"/>
    <w:rsid w:val="00981BDA"/>
    <w:rsid w:val="00981F70"/>
    <w:rsid w:val="0098233C"/>
    <w:rsid w:val="00982C5C"/>
    <w:rsid w:val="00982C73"/>
    <w:rsid w:val="00982D38"/>
    <w:rsid w:val="00982DC9"/>
    <w:rsid w:val="00983CDD"/>
    <w:rsid w:val="00984281"/>
    <w:rsid w:val="00984D1B"/>
    <w:rsid w:val="00984DD8"/>
    <w:rsid w:val="00985047"/>
    <w:rsid w:val="00985645"/>
    <w:rsid w:val="009858B5"/>
    <w:rsid w:val="00986416"/>
    <w:rsid w:val="00986F51"/>
    <w:rsid w:val="00987591"/>
    <w:rsid w:val="00987EE6"/>
    <w:rsid w:val="009906E7"/>
    <w:rsid w:val="0099098C"/>
    <w:rsid w:val="00990AB2"/>
    <w:rsid w:val="00990CAD"/>
    <w:rsid w:val="00990E64"/>
    <w:rsid w:val="00990E96"/>
    <w:rsid w:val="009911B6"/>
    <w:rsid w:val="009911F5"/>
    <w:rsid w:val="009912A5"/>
    <w:rsid w:val="0099197C"/>
    <w:rsid w:val="00991D37"/>
    <w:rsid w:val="0099297D"/>
    <w:rsid w:val="00992E2E"/>
    <w:rsid w:val="00992E65"/>
    <w:rsid w:val="009930DC"/>
    <w:rsid w:val="00993A12"/>
    <w:rsid w:val="00993AAE"/>
    <w:rsid w:val="009942E3"/>
    <w:rsid w:val="00994EC5"/>
    <w:rsid w:val="00994F27"/>
    <w:rsid w:val="0099528B"/>
    <w:rsid w:val="009952CF"/>
    <w:rsid w:val="00995333"/>
    <w:rsid w:val="009953ED"/>
    <w:rsid w:val="00995994"/>
    <w:rsid w:val="00995D0A"/>
    <w:rsid w:val="00995F16"/>
    <w:rsid w:val="0099607E"/>
    <w:rsid w:val="0099720D"/>
    <w:rsid w:val="00997AE9"/>
    <w:rsid w:val="009A013C"/>
    <w:rsid w:val="009A0423"/>
    <w:rsid w:val="009A0689"/>
    <w:rsid w:val="009A0C0B"/>
    <w:rsid w:val="009A0E25"/>
    <w:rsid w:val="009A11F9"/>
    <w:rsid w:val="009A1414"/>
    <w:rsid w:val="009A179B"/>
    <w:rsid w:val="009A202E"/>
    <w:rsid w:val="009A26EF"/>
    <w:rsid w:val="009A27F5"/>
    <w:rsid w:val="009A2BD4"/>
    <w:rsid w:val="009A2E53"/>
    <w:rsid w:val="009A3562"/>
    <w:rsid w:val="009A35FC"/>
    <w:rsid w:val="009A362E"/>
    <w:rsid w:val="009A3ABB"/>
    <w:rsid w:val="009A3D50"/>
    <w:rsid w:val="009A4280"/>
    <w:rsid w:val="009A4594"/>
    <w:rsid w:val="009A4864"/>
    <w:rsid w:val="009A4EB1"/>
    <w:rsid w:val="009A4FAF"/>
    <w:rsid w:val="009A51B6"/>
    <w:rsid w:val="009A5853"/>
    <w:rsid w:val="009A591B"/>
    <w:rsid w:val="009A5A51"/>
    <w:rsid w:val="009A5B61"/>
    <w:rsid w:val="009A5D06"/>
    <w:rsid w:val="009A60B1"/>
    <w:rsid w:val="009A7309"/>
    <w:rsid w:val="009A7785"/>
    <w:rsid w:val="009B0665"/>
    <w:rsid w:val="009B09FF"/>
    <w:rsid w:val="009B0EE8"/>
    <w:rsid w:val="009B10D4"/>
    <w:rsid w:val="009B11B5"/>
    <w:rsid w:val="009B1811"/>
    <w:rsid w:val="009B23BA"/>
    <w:rsid w:val="009B2435"/>
    <w:rsid w:val="009B249B"/>
    <w:rsid w:val="009B2A06"/>
    <w:rsid w:val="009B3DC9"/>
    <w:rsid w:val="009B4206"/>
    <w:rsid w:val="009B43AB"/>
    <w:rsid w:val="009B4792"/>
    <w:rsid w:val="009B47DC"/>
    <w:rsid w:val="009B484B"/>
    <w:rsid w:val="009B487A"/>
    <w:rsid w:val="009B49BE"/>
    <w:rsid w:val="009B4A07"/>
    <w:rsid w:val="009B57BE"/>
    <w:rsid w:val="009B644B"/>
    <w:rsid w:val="009B682F"/>
    <w:rsid w:val="009B71AD"/>
    <w:rsid w:val="009B7BE2"/>
    <w:rsid w:val="009C04C1"/>
    <w:rsid w:val="009C05DA"/>
    <w:rsid w:val="009C0CC2"/>
    <w:rsid w:val="009C15BC"/>
    <w:rsid w:val="009C1814"/>
    <w:rsid w:val="009C1FF3"/>
    <w:rsid w:val="009C207C"/>
    <w:rsid w:val="009C23DC"/>
    <w:rsid w:val="009C2726"/>
    <w:rsid w:val="009C288E"/>
    <w:rsid w:val="009C320A"/>
    <w:rsid w:val="009C3433"/>
    <w:rsid w:val="009C39DB"/>
    <w:rsid w:val="009C3BF6"/>
    <w:rsid w:val="009C3DA8"/>
    <w:rsid w:val="009C3E6C"/>
    <w:rsid w:val="009C3F74"/>
    <w:rsid w:val="009C4238"/>
    <w:rsid w:val="009C4959"/>
    <w:rsid w:val="009C501C"/>
    <w:rsid w:val="009C535B"/>
    <w:rsid w:val="009C5740"/>
    <w:rsid w:val="009C5866"/>
    <w:rsid w:val="009C5886"/>
    <w:rsid w:val="009C5D37"/>
    <w:rsid w:val="009C6298"/>
    <w:rsid w:val="009C631E"/>
    <w:rsid w:val="009C6370"/>
    <w:rsid w:val="009C644E"/>
    <w:rsid w:val="009C6EB8"/>
    <w:rsid w:val="009C75F2"/>
    <w:rsid w:val="009C778A"/>
    <w:rsid w:val="009C78EC"/>
    <w:rsid w:val="009C7925"/>
    <w:rsid w:val="009C7D8F"/>
    <w:rsid w:val="009C7E68"/>
    <w:rsid w:val="009D006B"/>
    <w:rsid w:val="009D07CB"/>
    <w:rsid w:val="009D09AF"/>
    <w:rsid w:val="009D0AF3"/>
    <w:rsid w:val="009D0DC1"/>
    <w:rsid w:val="009D0EB0"/>
    <w:rsid w:val="009D169F"/>
    <w:rsid w:val="009D1C78"/>
    <w:rsid w:val="009D1DB3"/>
    <w:rsid w:val="009D28F3"/>
    <w:rsid w:val="009D2D68"/>
    <w:rsid w:val="009D31DC"/>
    <w:rsid w:val="009D3514"/>
    <w:rsid w:val="009D362E"/>
    <w:rsid w:val="009D42E3"/>
    <w:rsid w:val="009D43FB"/>
    <w:rsid w:val="009D4B39"/>
    <w:rsid w:val="009D4D5A"/>
    <w:rsid w:val="009D51A3"/>
    <w:rsid w:val="009D5463"/>
    <w:rsid w:val="009D5C05"/>
    <w:rsid w:val="009D6319"/>
    <w:rsid w:val="009D637D"/>
    <w:rsid w:val="009D6D82"/>
    <w:rsid w:val="009D7219"/>
    <w:rsid w:val="009D734A"/>
    <w:rsid w:val="009D7611"/>
    <w:rsid w:val="009D7724"/>
    <w:rsid w:val="009D7726"/>
    <w:rsid w:val="009D78F3"/>
    <w:rsid w:val="009D7D3E"/>
    <w:rsid w:val="009E02DA"/>
    <w:rsid w:val="009E0363"/>
    <w:rsid w:val="009E15DE"/>
    <w:rsid w:val="009E1A00"/>
    <w:rsid w:val="009E1EDB"/>
    <w:rsid w:val="009E1EE7"/>
    <w:rsid w:val="009E2371"/>
    <w:rsid w:val="009E31D9"/>
    <w:rsid w:val="009E36FC"/>
    <w:rsid w:val="009E3AF9"/>
    <w:rsid w:val="009E4002"/>
    <w:rsid w:val="009E45AA"/>
    <w:rsid w:val="009E4B43"/>
    <w:rsid w:val="009E4DF2"/>
    <w:rsid w:val="009E50E3"/>
    <w:rsid w:val="009E5BAE"/>
    <w:rsid w:val="009E6599"/>
    <w:rsid w:val="009E69E6"/>
    <w:rsid w:val="009E6D1E"/>
    <w:rsid w:val="009E70AD"/>
    <w:rsid w:val="009E7E92"/>
    <w:rsid w:val="009E7EC2"/>
    <w:rsid w:val="009F01C1"/>
    <w:rsid w:val="009F0330"/>
    <w:rsid w:val="009F0402"/>
    <w:rsid w:val="009F05D7"/>
    <w:rsid w:val="009F091F"/>
    <w:rsid w:val="009F0B56"/>
    <w:rsid w:val="009F1030"/>
    <w:rsid w:val="009F1AF1"/>
    <w:rsid w:val="009F1EEC"/>
    <w:rsid w:val="009F2120"/>
    <w:rsid w:val="009F2376"/>
    <w:rsid w:val="009F2AA8"/>
    <w:rsid w:val="009F2C37"/>
    <w:rsid w:val="009F2EF9"/>
    <w:rsid w:val="009F3270"/>
    <w:rsid w:val="009F40AF"/>
    <w:rsid w:val="009F41E6"/>
    <w:rsid w:val="009F4445"/>
    <w:rsid w:val="009F444A"/>
    <w:rsid w:val="009F5386"/>
    <w:rsid w:val="009F58FC"/>
    <w:rsid w:val="009F5CDA"/>
    <w:rsid w:val="009F6531"/>
    <w:rsid w:val="009F6A7D"/>
    <w:rsid w:val="009F703B"/>
    <w:rsid w:val="009F7A66"/>
    <w:rsid w:val="009F7B52"/>
    <w:rsid w:val="00A00543"/>
    <w:rsid w:val="00A00BB9"/>
    <w:rsid w:val="00A019DA"/>
    <w:rsid w:val="00A023BB"/>
    <w:rsid w:val="00A02E5B"/>
    <w:rsid w:val="00A033F4"/>
    <w:rsid w:val="00A04930"/>
    <w:rsid w:val="00A05056"/>
    <w:rsid w:val="00A05A44"/>
    <w:rsid w:val="00A05DEA"/>
    <w:rsid w:val="00A062C3"/>
    <w:rsid w:val="00A06642"/>
    <w:rsid w:val="00A0697E"/>
    <w:rsid w:val="00A069E8"/>
    <w:rsid w:val="00A06CE4"/>
    <w:rsid w:val="00A079B0"/>
    <w:rsid w:val="00A1005F"/>
    <w:rsid w:val="00A10920"/>
    <w:rsid w:val="00A109CD"/>
    <w:rsid w:val="00A10EAE"/>
    <w:rsid w:val="00A10FFD"/>
    <w:rsid w:val="00A1129E"/>
    <w:rsid w:val="00A1141F"/>
    <w:rsid w:val="00A12099"/>
    <w:rsid w:val="00A12398"/>
    <w:rsid w:val="00A1267B"/>
    <w:rsid w:val="00A131B4"/>
    <w:rsid w:val="00A1377E"/>
    <w:rsid w:val="00A13DF5"/>
    <w:rsid w:val="00A14198"/>
    <w:rsid w:val="00A1485D"/>
    <w:rsid w:val="00A14A3A"/>
    <w:rsid w:val="00A153DC"/>
    <w:rsid w:val="00A15B4D"/>
    <w:rsid w:val="00A160BF"/>
    <w:rsid w:val="00A16164"/>
    <w:rsid w:val="00A168C3"/>
    <w:rsid w:val="00A1715D"/>
    <w:rsid w:val="00A1782C"/>
    <w:rsid w:val="00A17D8B"/>
    <w:rsid w:val="00A203C9"/>
    <w:rsid w:val="00A204C9"/>
    <w:rsid w:val="00A205FD"/>
    <w:rsid w:val="00A20B73"/>
    <w:rsid w:val="00A21206"/>
    <w:rsid w:val="00A215EE"/>
    <w:rsid w:val="00A2165C"/>
    <w:rsid w:val="00A21883"/>
    <w:rsid w:val="00A218EB"/>
    <w:rsid w:val="00A22172"/>
    <w:rsid w:val="00A2254D"/>
    <w:rsid w:val="00A23380"/>
    <w:rsid w:val="00A23931"/>
    <w:rsid w:val="00A23CE2"/>
    <w:rsid w:val="00A24AFB"/>
    <w:rsid w:val="00A25128"/>
    <w:rsid w:val="00A25C67"/>
    <w:rsid w:val="00A263BB"/>
    <w:rsid w:val="00A265AE"/>
    <w:rsid w:val="00A27748"/>
    <w:rsid w:val="00A278C4"/>
    <w:rsid w:val="00A30901"/>
    <w:rsid w:val="00A30965"/>
    <w:rsid w:val="00A30A53"/>
    <w:rsid w:val="00A30D25"/>
    <w:rsid w:val="00A30DC8"/>
    <w:rsid w:val="00A3103D"/>
    <w:rsid w:val="00A31290"/>
    <w:rsid w:val="00A315D5"/>
    <w:rsid w:val="00A31CE0"/>
    <w:rsid w:val="00A31FB9"/>
    <w:rsid w:val="00A32568"/>
    <w:rsid w:val="00A32C70"/>
    <w:rsid w:val="00A32CE6"/>
    <w:rsid w:val="00A33466"/>
    <w:rsid w:val="00A334E9"/>
    <w:rsid w:val="00A338D6"/>
    <w:rsid w:val="00A33FCE"/>
    <w:rsid w:val="00A342DC"/>
    <w:rsid w:val="00A344CD"/>
    <w:rsid w:val="00A34CE3"/>
    <w:rsid w:val="00A35149"/>
    <w:rsid w:val="00A352AF"/>
    <w:rsid w:val="00A354CD"/>
    <w:rsid w:val="00A35AE6"/>
    <w:rsid w:val="00A35AEE"/>
    <w:rsid w:val="00A35CAB"/>
    <w:rsid w:val="00A3663B"/>
    <w:rsid w:val="00A368DC"/>
    <w:rsid w:val="00A3691D"/>
    <w:rsid w:val="00A406C5"/>
    <w:rsid w:val="00A407F1"/>
    <w:rsid w:val="00A412E4"/>
    <w:rsid w:val="00A416B5"/>
    <w:rsid w:val="00A41826"/>
    <w:rsid w:val="00A42019"/>
    <w:rsid w:val="00A42199"/>
    <w:rsid w:val="00A42B3F"/>
    <w:rsid w:val="00A42D75"/>
    <w:rsid w:val="00A43A68"/>
    <w:rsid w:val="00A43B1F"/>
    <w:rsid w:val="00A44C7D"/>
    <w:rsid w:val="00A44F67"/>
    <w:rsid w:val="00A45497"/>
    <w:rsid w:val="00A4581A"/>
    <w:rsid w:val="00A46282"/>
    <w:rsid w:val="00A4631B"/>
    <w:rsid w:val="00A466A6"/>
    <w:rsid w:val="00A46F43"/>
    <w:rsid w:val="00A4749F"/>
    <w:rsid w:val="00A477AC"/>
    <w:rsid w:val="00A50D36"/>
    <w:rsid w:val="00A52554"/>
    <w:rsid w:val="00A52970"/>
    <w:rsid w:val="00A52C3F"/>
    <w:rsid w:val="00A52C71"/>
    <w:rsid w:val="00A534D7"/>
    <w:rsid w:val="00A53838"/>
    <w:rsid w:val="00A5403A"/>
    <w:rsid w:val="00A54964"/>
    <w:rsid w:val="00A550CA"/>
    <w:rsid w:val="00A55A06"/>
    <w:rsid w:val="00A5630E"/>
    <w:rsid w:val="00A56699"/>
    <w:rsid w:val="00A56C04"/>
    <w:rsid w:val="00A573F3"/>
    <w:rsid w:val="00A579EC"/>
    <w:rsid w:val="00A57F08"/>
    <w:rsid w:val="00A60D29"/>
    <w:rsid w:val="00A60E6B"/>
    <w:rsid w:val="00A617AC"/>
    <w:rsid w:val="00A62460"/>
    <w:rsid w:val="00A6319B"/>
    <w:rsid w:val="00A63717"/>
    <w:rsid w:val="00A6394A"/>
    <w:rsid w:val="00A63CF9"/>
    <w:rsid w:val="00A640DE"/>
    <w:rsid w:val="00A645FF"/>
    <w:rsid w:val="00A64782"/>
    <w:rsid w:val="00A64CB7"/>
    <w:rsid w:val="00A65281"/>
    <w:rsid w:val="00A654A0"/>
    <w:rsid w:val="00A65C9A"/>
    <w:rsid w:val="00A66131"/>
    <w:rsid w:val="00A66E04"/>
    <w:rsid w:val="00A671A6"/>
    <w:rsid w:val="00A671D0"/>
    <w:rsid w:val="00A67600"/>
    <w:rsid w:val="00A678B3"/>
    <w:rsid w:val="00A67F27"/>
    <w:rsid w:val="00A67F6D"/>
    <w:rsid w:val="00A700A6"/>
    <w:rsid w:val="00A701B4"/>
    <w:rsid w:val="00A705EC"/>
    <w:rsid w:val="00A7071F"/>
    <w:rsid w:val="00A70CB2"/>
    <w:rsid w:val="00A713BE"/>
    <w:rsid w:val="00A71AB6"/>
    <w:rsid w:val="00A71B13"/>
    <w:rsid w:val="00A71C9E"/>
    <w:rsid w:val="00A72590"/>
    <w:rsid w:val="00A73039"/>
    <w:rsid w:val="00A7318C"/>
    <w:rsid w:val="00A73819"/>
    <w:rsid w:val="00A7443B"/>
    <w:rsid w:val="00A744D8"/>
    <w:rsid w:val="00A745BB"/>
    <w:rsid w:val="00A745E7"/>
    <w:rsid w:val="00A74741"/>
    <w:rsid w:val="00A748E6"/>
    <w:rsid w:val="00A751DD"/>
    <w:rsid w:val="00A755DC"/>
    <w:rsid w:val="00A756AA"/>
    <w:rsid w:val="00A75960"/>
    <w:rsid w:val="00A762B6"/>
    <w:rsid w:val="00A762BD"/>
    <w:rsid w:val="00A771FD"/>
    <w:rsid w:val="00A775A8"/>
    <w:rsid w:val="00A80A25"/>
    <w:rsid w:val="00A80D3B"/>
    <w:rsid w:val="00A80E14"/>
    <w:rsid w:val="00A81138"/>
    <w:rsid w:val="00A81142"/>
    <w:rsid w:val="00A813BE"/>
    <w:rsid w:val="00A81862"/>
    <w:rsid w:val="00A829BA"/>
    <w:rsid w:val="00A829FD"/>
    <w:rsid w:val="00A82C93"/>
    <w:rsid w:val="00A82D52"/>
    <w:rsid w:val="00A82EB0"/>
    <w:rsid w:val="00A835EA"/>
    <w:rsid w:val="00A83617"/>
    <w:rsid w:val="00A83911"/>
    <w:rsid w:val="00A83DE7"/>
    <w:rsid w:val="00A83EA1"/>
    <w:rsid w:val="00A83F16"/>
    <w:rsid w:val="00A84099"/>
    <w:rsid w:val="00A843E1"/>
    <w:rsid w:val="00A8486E"/>
    <w:rsid w:val="00A84C31"/>
    <w:rsid w:val="00A84DD1"/>
    <w:rsid w:val="00A84E7D"/>
    <w:rsid w:val="00A84EA4"/>
    <w:rsid w:val="00A85048"/>
    <w:rsid w:val="00A85B77"/>
    <w:rsid w:val="00A85D08"/>
    <w:rsid w:val="00A86888"/>
    <w:rsid w:val="00A86CD9"/>
    <w:rsid w:val="00A86DCA"/>
    <w:rsid w:val="00A86F5B"/>
    <w:rsid w:val="00A87342"/>
    <w:rsid w:val="00A87953"/>
    <w:rsid w:val="00A879AF"/>
    <w:rsid w:val="00A87A8F"/>
    <w:rsid w:val="00A87D56"/>
    <w:rsid w:val="00A90BDD"/>
    <w:rsid w:val="00A90E03"/>
    <w:rsid w:val="00A91072"/>
    <w:rsid w:val="00A91087"/>
    <w:rsid w:val="00A910DA"/>
    <w:rsid w:val="00A911A7"/>
    <w:rsid w:val="00A91CE9"/>
    <w:rsid w:val="00A91F49"/>
    <w:rsid w:val="00A92F62"/>
    <w:rsid w:val="00A9329A"/>
    <w:rsid w:val="00A933FD"/>
    <w:rsid w:val="00A93427"/>
    <w:rsid w:val="00A93478"/>
    <w:rsid w:val="00A934E9"/>
    <w:rsid w:val="00A93766"/>
    <w:rsid w:val="00A93AE2"/>
    <w:rsid w:val="00A955A1"/>
    <w:rsid w:val="00A9587D"/>
    <w:rsid w:val="00A95D12"/>
    <w:rsid w:val="00A95D4C"/>
    <w:rsid w:val="00A962CF"/>
    <w:rsid w:val="00A9697B"/>
    <w:rsid w:val="00A969A4"/>
    <w:rsid w:val="00A96A54"/>
    <w:rsid w:val="00A96C2C"/>
    <w:rsid w:val="00A97D28"/>
    <w:rsid w:val="00AA021A"/>
    <w:rsid w:val="00AA0E9B"/>
    <w:rsid w:val="00AA23E2"/>
    <w:rsid w:val="00AA24E1"/>
    <w:rsid w:val="00AA25C4"/>
    <w:rsid w:val="00AA300C"/>
    <w:rsid w:val="00AA31E9"/>
    <w:rsid w:val="00AA38DD"/>
    <w:rsid w:val="00AA3928"/>
    <w:rsid w:val="00AA3DA7"/>
    <w:rsid w:val="00AA3E52"/>
    <w:rsid w:val="00AA3EBB"/>
    <w:rsid w:val="00AA42F1"/>
    <w:rsid w:val="00AA4546"/>
    <w:rsid w:val="00AA55CC"/>
    <w:rsid w:val="00AA5FB8"/>
    <w:rsid w:val="00AA6F2A"/>
    <w:rsid w:val="00AA7370"/>
    <w:rsid w:val="00AA7427"/>
    <w:rsid w:val="00AA7740"/>
    <w:rsid w:val="00AA7C25"/>
    <w:rsid w:val="00AA7DA6"/>
    <w:rsid w:val="00AA7FCB"/>
    <w:rsid w:val="00AA7FF7"/>
    <w:rsid w:val="00AB084E"/>
    <w:rsid w:val="00AB0E93"/>
    <w:rsid w:val="00AB176F"/>
    <w:rsid w:val="00AB18FA"/>
    <w:rsid w:val="00AB1E77"/>
    <w:rsid w:val="00AB1FEA"/>
    <w:rsid w:val="00AB24B4"/>
    <w:rsid w:val="00AB2540"/>
    <w:rsid w:val="00AB2C9D"/>
    <w:rsid w:val="00AB2DBF"/>
    <w:rsid w:val="00AB2F1B"/>
    <w:rsid w:val="00AB32A5"/>
    <w:rsid w:val="00AB3E69"/>
    <w:rsid w:val="00AB45A8"/>
    <w:rsid w:val="00AB4853"/>
    <w:rsid w:val="00AB516B"/>
    <w:rsid w:val="00AB516D"/>
    <w:rsid w:val="00AB5B26"/>
    <w:rsid w:val="00AB647B"/>
    <w:rsid w:val="00AB6577"/>
    <w:rsid w:val="00AB6937"/>
    <w:rsid w:val="00AB69C0"/>
    <w:rsid w:val="00AB702F"/>
    <w:rsid w:val="00AB74E4"/>
    <w:rsid w:val="00AB7896"/>
    <w:rsid w:val="00AC0697"/>
    <w:rsid w:val="00AC10DF"/>
    <w:rsid w:val="00AC1F0D"/>
    <w:rsid w:val="00AC2103"/>
    <w:rsid w:val="00AC21BF"/>
    <w:rsid w:val="00AC2771"/>
    <w:rsid w:val="00AC2B33"/>
    <w:rsid w:val="00AC2F27"/>
    <w:rsid w:val="00AC3248"/>
    <w:rsid w:val="00AC3582"/>
    <w:rsid w:val="00AC3731"/>
    <w:rsid w:val="00AC3733"/>
    <w:rsid w:val="00AC3826"/>
    <w:rsid w:val="00AC38C7"/>
    <w:rsid w:val="00AC41FB"/>
    <w:rsid w:val="00AC4571"/>
    <w:rsid w:val="00AC49C2"/>
    <w:rsid w:val="00AC5190"/>
    <w:rsid w:val="00AC5A18"/>
    <w:rsid w:val="00AC6159"/>
    <w:rsid w:val="00AC66E8"/>
    <w:rsid w:val="00AC6BCD"/>
    <w:rsid w:val="00AC70F7"/>
    <w:rsid w:val="00AC7602"/>
    <w:rsid w:val="00AC76D3"/>
    <w:rsid w:val="00AC79E1"/>
    <w:rsid w:val="00AC7DD0"/>
    <w:rsid w:val="00AC7EC2"/>
    <w:rsid w:val="00AD1648"/>
    <w:rsid w:val="00AD19F0"/>
    <w:rsid w:val="00AD1A3F"/>
    <w:rsid w:val="00AD214E"/>
    <w:rsid w:val="00AD2386"/>
    <w:rsid w:val="00AD2885"/>
    <w:rsid w:val="00AD2D00"/>
    <w:rsid w:val="00AD2E91"/>
    <w:rsid w:val="00AD30D6"/>
    <w:rsid w:val="00AD35EB"/>
    <w:rsid w:val="00AD42DD"/>
    <w:rsid w:val="00AD49D5"/>
    <w:rsid w:val="00AD4AE7"/>
    <w:rsid w:val="00AD4FD6"/>
    <w:rsid w:val="00AD5113"/>
    <w:rsid w:val="00AD533A"/>
    <w:rsid w:val="00AD5BA9"/>
    <w:rsid w:val="00AD5D80"/>
    <w:rsid w:val="00AD6689"/>
    <w:rsid w:val="00AD6C36"/>
    <w:rsid w:val="00AD74A3"/>
    <w:rsid w:val="00AD781C"/>
    <w:rsid w:val="00AE0BEF"/>
    <w:rsid w:val="00AE15B2"/>
    <w:rsid w:val="00AE1DA4"/>
    <w:rsid w:val="00AE22A2"/>
    <w:rsid w:val="00AE26FF"/>
    <w:rsid w:val="00AE2782"/>
    <w:rsid w:val="00AE2889"/>
    <w:rsid w:val="00AE2F1F"/>
    <w:rsid w:val="00AE2F66"/>
    <w:rsid w:val="00AE4555"/>
    <w:rsid w:val="00AE4968"/>
    <w:rsid w:val="00AE4DB9"/>
    <w:rsid w:val="00AE5572"/>
    <w:rsid w:val="00AE6030"/>
    <w:rsid w:val="00AE6C80"/>
    <w:rsid w:val="00AE76EC"/>
    <w:rsid w:val="00AE7F4F"/>
    <w:rsid w:val="00AF00C5"/>
    <w:rsid w:val="00AF03DC"/>
    <w:rsid w:val="00AF0799"/>
    <w:rsid w:val="00AF0B05"/>
    <w:rsid w:val="00AF122C"/>
    <w:rsid w:val="00AF12CC"/>
    <w:rsid w:val="00AF17FB"/>
    <w:rsid w:val="00AF1A0C"/>
    <w:rsid w:val="00AF1B2F"/>
    <w:rsid w:val="00AF1D04"/>
    <w:rsid w:val="00AF2752"/>
    <w:rsid w:val="00AF2AA9"/>
    <w:rsid w:val="00AF2DA3"/>
    <w:rsid w:val="00AF3149"/>
    <w:rsid w:val="00AF41FD"/>
    <w:rsid w:val="00AF431F"/>
    <w:rsid w:val="00AF492B"/>
    <w:rsid w:val="00AF4985"/>
    <w:rsid w:val="00AF4B92"/>
    <w:rsid w:val="00AF4C15"/>
    <w:rsid w:val="00AF52C9"/>
    <w:rsid w:val="00AF5E3A"/>
    <w:rsid w:val="00AF6382"/>
    <w:rsid w:val="00AF647E"/>
    <w:rsid w:val="00AF689E"/>
    <w:rsid w:val="00AF6CD0"/>
    <w:rsid w:val="00AF6D09"/>
    <w:rsid w:val="00AF7016"/>
    <w:rsid w:val="00AF7B62"/>
    <w:rsid w:val="00B00130"/>
    <w:rsid w:val="00B00666"/>
    <w:rsid w:val="00B00A6A"/>
    <w:rsid w:val="00B00E4D"/>
    <w:rsid w:val="00B013DD"/>
    <w:rsid w:val="00B01600"/>
    <w:rsid w:val="00B0166D"/>
    <w:rsid w:val="00B01A60"/>
    <w:rsid w:val="00B01EDD"/>
    <w:rsid w:val="00B0239F"/>
    <w:rsid w:val="00B02861"/>
    <w:rsid w:val="00B028F7"/>
    <w:rsid w:val="00B038D1"/>
    <w:rsid w:val="00B03C7A"/>
    <w:rsid w:val="00B03FDF"/>
    <w:rsid w:val="00B04516"/>
    <w:rsid w:val="00B04545"/>
    <w:rsid w:val="00B0548D"/>
    <w:rsid w:val="00B05624"/>
    <w:rsid w:val="00B056A6"/>
    <w:rsid w:val="00B056FC"/>
    <w:rsid w:val="00B05958"/>
    <w:rsid w:val="00B059E4"/>
    <w:rsid w:val="00B05CD8"/>
    <w:rsid w:val="00B06017"/>
    <w:rsid w:val="00B06154"/>
    <w:rsid w:val="00B06280"/>
    <w:rsid w:val="00B0678F"/>
    <w:rsid w:val="00B06949"/>
    <w:rsid w:val="00B06B80"/>
    <w:rsid w:val="00B06CA4"/>
    <w:rsid w:val="00B0745B"/>
    <w:rsid w:val="00B0749F"/>
    <w:rsid w:val="00B07BB5"/>
    <w:rsid w:val="00B101D2"/>
    <w:rsid w:val="00B10883"/>
    <w:rsid w:val="00B10EFB"/>
    <w:rsid w:val="00B110AF"/>
    <w:rsid w:val="00B115F0"/>
    <w:rsid w:val="00B11A98"/>
    <w:rsid w:val="00B123A8"/>
    <w:rsid w:val="00B124CC"/>
    <w:rsid w:val="00B124CD"/>
    <w:rsid w:val="00B13088"/>
    <w:rsid w:val="00B130DC"/>
    <w:rsid w:val="00B1340F"/>
    <w:rsid w:val="00B135B0"/>
    <w:rsid w:val="00B13793"/>
    <w:rsid w:val="00B1529E"/>
    <w:rsid w:val="00B15CA1"/>
    <w:rsid w:val="00B16373"/>
    <w:rsid w:val="00B16457"/>
    <w:rsid w:val="00B16AFC"/>
    <w:rsid w:val="00B16CA5"/>
    <w:rsid w:val="00B17961"/>
    <w:rsid w:val="00B202E3"/>
    <w:rsid w:val="00B202F5"/>
    <w:rsid w:val="00B2040D"/>
    <w:rsid w:val="00B20913"/>
    <w:rsid w:val="00B20BF0"/>
    <w:rsid w:val="00B2150B"/>
    <w:rsid w:val="00B21570"/>
    <w:rsid w:val="00B219B6"/>
    <w:rsid w:val="00B2276F"/>
    <w:rsid w:val="00B22D0F"/>
    <w:rsid w:val="00B22F03"/>
    <w:rsid w:val="00B234EC"/>
    <w:rsid w:val="00B24531"/>
    <w:rsid w:val="00B24724"/>
    <w:rsid w:val="00B24761"/>
    <w:rsid w:val="00B24924"/>
    <w:rsid w:val="00B249F5"/>
    <w:rsid w:val="00B24D40"/>
    <w:rsid w:val="00B25B34"/>
    <w:rsid w:val="00B25B48"/>
    <w:rsid w:val="00B25C21"/>
    <w:rsid w:val="00B2621A"/>
    <w:rsid w:val="00B26AA5"/>
    <w:rsid w:val="00B275D3"/>
    <w:rsid w:val="00B27F75"/>
    <w:rsid w:val="00B301F7"/>
    <w:rsid w:val="00B30D1E"/>
    <w:rsid w:val="00B30D85"/>
    <w:rsid w:val="00B31197"/>
    <w:rsid w:val="00B31433"/>
    <w:rsid w:val="00B3153F"/>
    <w:rsid w:val="00B31AEC"/>
    <w:rsid w:val="00B31CFA"/>
    <w:rsid w:val="00B31DBD"/>
    <w:rsid w:val="00B33174"/>
    <w:rsid w:val="00B33F3A"/>
    <w:rsid w:val="00B34204"/>
    <w:rsid w:val="00B34C20"/>
    <w:rsid w:val="00B35CEA"/>
    <w:rsid w:val="00B36029"/>
    <w:rsid w:val="00B36AC1"/>
    <w:rsid w:val="00B371E1"/>
    <w:rsid w:val="00B3735E"/>
    <w:rsid w:val="00B37D6A"/>
    <w:rsid w:val="00B40470"/>
    <w:rsid w:val="00B40739"/>
    <w:rsid w:val="00B4126A"/>
    <w:rsid w:val="00B417BC"/>
    <w:rsid w:val="00B417E1"/>
    <w:rsid w:val="00B41A62"/>
    <w:rsid w:val="00B41D26"/>
    <w:rsid w:val="00B42080"/>
    <w:rsid w:val="00B42411"/>
    <w:rsid w:val="00B4280D"/>
    <w:rsid w:val="00B433FC"/>
    <w:rsid w:val="00B43952"/>
    <w:rsid w:val="00B43F25"/>
    <w:rsid w:val="00B44DE1"/>
    <w:rsid w:val="00B44F25"/>
    <w:rsid w:val="00B451A3"/>
    <w:rsid w:val="00B452FC"/>
    <w:rsid w:val="00B453E1"/>
    <w:rsid w:val="00B4559E"/>
    <w:rsid w:val="00B4575B"/>
    <w:rsid w:val="00B458B4"/>
    <w:rsid w:val="00B45B86"/>
    <w:rsid w:val="00B466F1"/>
    <w:rsid w:val="00B467FA"/>
    <w:rsid w:val="00B472FA"/>
    <w:rsid w:val="00B50076"/>
    <w:rsid w:val="00B502D2"/>
    <w:rsid w:val="00B5050E"/>
    <w:rsid w:val="00B50539"/>
    <w:rsid w:val="00B509AD"/>
    <w:rsid w:val="00B50F15"/>
    <w:rsid w:val="00B510B4"/>
    <w:rsid w:val="00B51608"/>
    <w:rsid w:val="00B51E8C"/>
    <w:rsid w:val="00B51ED8"/>
    <w:rsid w:val="00B52628"/>
    <w:rsid w:val="00B532AE"/>
    <w:rsid w:val="00B53A58"/>
    <w:rsid w:val="00B54A93"/>
    <w:rsid w:val="00B5549B"/>
    <w:rsid w:val="00B558AA"/>
    <w:rsid w:val="00B55A67"/>
    <w:rsid w:val="00B55CA2"/>
    <w:rsid w:val="00B55CAA"/>
    <w:rsid w:val="00B55D81"/>
    <w:rsid w:val="00B55FE6"/>
    <w:rsid w:val="00B5635D"/>
    <w:rsid w:val="00B56C8D"/>
    <w:rsid w:val="00B5720C"/>
    <w:rsid w:val="00B57235"/>
    <w:rsid w:val="00B57366"/>
    <w:rsid w:val="00B57C70"/>
    <w:rsid w:val="00B57D34"/>
    <w:rsid w:val="00B60228"/>
    <w:rsid w:val="00B60315"/>
    <w:rsid w:val="00B61116"/>
    <w:rsid w:val="00B6114E"/>
    <w:rsid w:val="00B61164"/>
    <w:rsid w:val="00B61172"/>
    <w:rsid w:val="00B613A0"/>
    <w:rsid w:val="00B620F5"/>
    <w:rsid w:val="00B625F7"/>
    <w:rsid w:val="00B6289B"/>
    <w:rsid w:val="00B63079"/>
    <w:rsid w:val="00B63598"/>
    <w:rsid w:val="00B6371A"/>
    <w:rsid w:val="00B63A4B"/>
    <w:rsid w:val="00B63CA8"/>
    <w:rsid w:val="00B63EE5"/>
    <w:rsid w:val="00B6426C"/>
    <w:rsid w:val="00B64364"/>
    <w:rsid w:val="00B646F7"/>
    <w:rsid w:val="00B64F51"/>
    <w:rsid w:val="00B65365"/>
    <w:rsid w:val="00B6562B"/>
    <w:rsid w:val="00B65828"/>
    <w:rsid w:val="00B65C38"/>
    <w:rsid w:val="00B661B8"/>
    <w:rsid w:val="00B67C9F"/>
    <w:rsid w:val="00B70005"/>
    <w:rsid w:val="00B70223"/>
    <w:rsid w:val="00B7028B"/>
    <w:rsid w:val="00B702EC"/>
    <w:rsid w:val="00B70518"/>
    <w:rsid w:val="00B7076C"/>
    <w:rsid w:val="00B70FDC"/>
    <w:rsid w:val="00B7125D"/>
    <w:rsid w:val="00B71E8F"/>
    <w:rsid w:val="00B725A5"/>
    <w:rsid w:val="00B728AA"/>
    <w:rsid w:val="00B72C61"/>
    <w:rsid w:val="00B72E78"/>
    <w:rsid w:val="00B73059"/>
    <w:rsid w:val="00B733F9"/>
    <w:rsid w:val="00B73894"/>
    <w:rsid w:val="00B739E0"/>
    <w:rsid w:val="00B73F0C"/>
    <w:rsid w:val="00B73FA3"/>
    <w:rsid w:val="00B741CA"/>
    <w:rsid w:val="00B746EA"/>
    <w:rsid w:val="00B74DD3"/>
    <w:rsid w:val="00B755CF"/>
    <w:rsid w:val="00B75CEF"/>
    <w:rsid w:val="00B75EFF"/>
    <w:rsid w:val="00B767C1"/>
    <w:rsid w:val="00B768D1"/>
    <w:rsid w:val="00B76AC4"/>
    <w:rsid w:val="00B76AFB"/>
    <w:rsid w:val="00B77D43"/>
    <w:rsid w:val="00B77E19"/>
    <w:rsid w:val="00B77F92"/>
    <w:rsid w:val="00B802B6"/>
    <w:rsid w:val="00B8054C"/>
    <w:rsid w:val="00B80A66"/>
    <w:rsid w:val="00B80E10"/>
    <w:rsid w:val="00B8110A"/>
    <w:rsid w:val="00B811FD"/>
    <w:rsid w:val="00B82815"/>
    <w:rsid w:val="00B828EE"/>
    <w:rsid w:val="00B82934"/>
    <w:rsid w:val="00B8293B"/>
    <w:rsid w:val="00B82DCB"/>
    <w:rsid w:val="00B82E06"/>
    <w:rsid w:val="00B833FE"/>
    <w:rsid w:val="00B8346F"/>
    <w:rsid w:val="00B834C3"/>
    <w:rsid w:val="00B8388E"/>
    <w:rsid w:val="00B84404"/>
    <w:rsid w:val="00B84464"/>
    <w:rsid w:val="00B84496"/>
    <w:rsid w:val="00B844CB"/>
    <w:rsid w:val="00B8520C"/>
    <w:rsid w:val="00B85532"/>
    <w:rsid w:val="00B85677"/>
    <w:rsid w:val="00B856F2"/>
    <w:rsid w:val="00B86547"/>
    <w:rsid w:val="00B86AE4"/>
    <w:rsid w:val="00B86CF3"/>
    <w:rsid w:val="00B875EB"/>
    <w:rsid w:val="00B8761D"/>
    <w:rsid w:val="00B876CC"/>
    <w:rsid w:val="00B87A85"/>
    <w:rsid w:val="00B90A05"/>
    <w:rsid w:val="00B90CF4"/>
    <w:rsid w:val="00B91195"/>
    <w:rsid w:val="00B915B0"/>
    <w:rsid w:val="00B915BA"/>
    <w:rsid w:val="00B9163E"/>
    <w:rsid w:val="00B91B36"/>
    <w:rsid w:val="00B91D63"/>
    <w:rsid w:val="00B9245D"/>
    <w:rsid w:val="00B9293D"/>
    <w:rsid w:val="00B9317F"/>
    <w:rsid w:val="00B93248"/>
    <w:rsid w:val="00B932EF"/>
    <w:rsid w:val="00B9363E"/>
    <w:rsid w:val="00B93A05"/>
    <w:rsid w:val="00B93DB4"/>
    <w:rsid w:val="00B9499C"/>
    <w:rsid w:val="00B954FF"/>
    <w:rsid w:val="00B957F9"/>
    <w:rsid w:val="00B958E5"/>
    <w:rsid w:val="00B96187"/>
    <w:rsid w:val="00B964E2"/>
    <w:rsid w:val="00B96822"/>
    <w:rsid w:val="00B96B25"/>
    <w:rsid w:val="00B96BAC"/>
    <w:rsid w:val="00B96DD2"/>
    <w:rsid w:val="00B96E01"/>
    <w:rsid w:val="00B9764C"/>
    <w:rsid w:val="00B97B63"/>
    <w:rsid w:val="00BA0003"/>
    <w:rsid w:val="00BA02CA"/>
    <w:rsid w:val="00BA0514"/>
    <w:rsid w:val="00BA0C07"/>
    <w:rsid w:val="00BA1176"/>
    <w:rsid w:val="00BA1595"/>
    <w:rsid w:val="00BA1938"/>
    <w:rsid w:val="00BA227D"/>
    <w:rsid w:val="00BA271B"/>
    <w:rsid w:val="00BA2EE1"/>
    <w:rsid w:val="00BA3018"/>
    <w:rsid w:val="00BA30BB"/>
    <w:rsid w:val="00BA32B6"/>
    <w:rsid w:val="00BA3644"/>
    <w:rsid w:val="00BA377F"/>
    <w:rsid w:val="00BA3F8A"/>
    <w:rsid w:val="00BA4709"/>
    <w:rsid w:val="00BA4AD4"/>
    <w:rsid w:val="00BA4EC4"/>
    <w:rsid w:val="00BA56EB"/>
    <w:rsid w:val="00BA5BDB"/>
    <w:rsid w:val="00BA6192"/>
    <w:rsid w:val="00BA648D"/>
    <w:rsid w:val="00BA6546"/>
    <w:rsid w:val="00BA73A8"/>
    <w:rsid w:val="00BA745B"/>
    <w:rsid w:val="00BA75B8"/>
    <w:rsid w:val="00BA7EA0"/>
    <w:rsid w:val="00BB0E31"/>
    <w:rsid w:val="00BB1195"/>
    <w:rsid w:val="00BB12C8"/>
    <w:rsid w:val="00BB12F2"/>
    <w:rsid w:val="00BB192F"/>
    <w:rsid w:val="00BB1B32"/>
    <w:rsid w:val="00BB20C1"/>
    <w:rsid w:val="00BB2220"/>
    <w:rsid w:val="00BB2AA1"/>
    <w:rsid w:val="00BB30AD"/>
    <w:rsid w:val="00BB361E"/>
    <w:rsid w:val="00BB3851"/>
    <w:rsid w:val="00BB3BE5"/>
    <w:rsid w:val="00BB3D4D"/>
    <w:rsid w:val="00BB4791"/>
    <w:rsid w:val="00BB4870"/>
    <w:rsid w:val="00BB4A49"/>
    <w:rsid w:val="00BB4A6E"/>
    <w:rsid w:val="00BB4AED"/>
    <w:rsid w:val="00BB50E6"/>
    <w:rsid w:val="00BB5205"/>
    <w:rsid w:val="00BB5C24"/>
    <w:rsid w:val="00BB5D70"/>
    <w:rsid w:val="00BB6843"/>
    <w:rsid w:val="00BB6B74"/>
    <w:rsid w:val="00BB79CD"/>
    <w:rsid w:val="00BB7F15"/>
    <w:rsid w:val="00BC04AE"/>
    <w:rsid w:val="00BC0665"/>
    <w:rsid w:val="00BC0E1C"/>
    <w:rsid w:val="00BC105D"/>
    <w:rsid w:val="00BC1156"/>
    <w:rsid w:val="00BC1784"/>
    <w:rsid w:val="00BC2ED4"/>
    <w:rsid w:val="00BC30C2"/>
    <w:rsid w:val="00BC35E7"/>
    <w:rsid w:val="00BC3709"/>
    <w:rsid w:val="00BC3818"/>
    <w:rsid w:val="00BC3E4C"/>
    <w:rsid w:val="00BC3E6E"/>
    <w:rsid w:val="00BC403E"/>
    <w:rsid w:val="00BC41DB"/>
    <w:rsid w:val="00BC6754"/>
    <w:rsid w:val="00BC6D69"/>
    <w:rsid w:val="00BC702B"/>
    <w:rsid w:val="00BC708A"/>
    <w:rsid w:val="00BD0235"/>
    <w:rsid w:val="00BD04CA"/>
    <w:rsid w:val="00BD0A65"/>
    <w:rsid w:val="00BD1428"/>
    <w:rsid w:val="00BD196B"/>
    <w:rsid w:val="00BD1F8C"/>
    <w:rsid w:val="00BD2102"/>
    <w:rsid w:val="00BD229A"/>
    <w:rsid w:val="00BD22A3"/>
    <w:rsid w:val="00BD239E"/>
    <w:rsid w:val="00BD33C0"/>
    <w:rsid w:val="00BD3424"/>
    <w:rsid w:val="00BD46DB"/>
    <w:rsid w:val="00BD4BDC"/>
    <w:rsid w:val="00BD4FAB"/>
    <w:rsid w:val="00BD4FAF"/>
    <w:rsid w:val="00BD5B35"/>
    <w:rsid w:val="00BD5C6A"/>
    <w:rsid w:val="00BD64F1"/>
    <w:rsid w:val="00BD6CE3"/>
    <w:rsid w:val="00BD6DDC"/>
    <w:rsid w:val="00BD6E50"/>
    <w:rsid w:val="00BD7610"/>
    <w:rsid w:val="00BD7B08"/>
    <w:rsid w:val="00BE1405"/>
    <w:rsid w:val="00BE1420"/>
    <w:rsid w:val="00BE178F"/>
    <w:rsid w:val="00BE1A7F"/>
    <w:rsid w:val="00BE23B2"/>
    <w:rsid w:val="00BE293A"/>
    <w:rsid w:val="00BE2980"/>
    <w:rsid w:val="00BE2F41"/>
    <w:rsid w:val="00BE31E2"/>
    <w:rsid w:val="00BE399C"/>
    <w:rsid w:val="00BE3A30"/>
    <w:rsid w:val="00BE3F88"/>
    <w:rsid w:val="00BE4AC5"/>
    <w:rsid w:val="00BE4C2A"/>
    <w:rsid w:val="00BE58E5"/>
    <w:rsid w:val="00BE5DDC"/>
    <w:rsid w:val="00BE62BA"/>
    <w:rsid w:val="00BE69F3"/>
    <w:rsid w:val="00BE70EB"/>
    <w:rsid w:val="00BE7BE5"/>
    <w:rsid w:val="00BE7C29"/>
    <w:rsid w:val="00BF0443"/>
    <w:rsid w:val="00BF04F5"/>
    <w:rsid w:val="00BF09F0"/>
    <w:rsid w:val="00BF0E68"/>
    <w:rsid w:val="00BF1D78"/>
    <w:rsid w:val="00BF246E"/>
    <w:rsid w:val="00BF252D"/>
    <w:rsid w:val="00BF2A15"/>
    <w:rsid w:val="00BF309E"/>
    <w:rsid w:val="00BF3348"/>
    <w:rsid w:val="00BF364C"/>
    <w:rsid w:val="00BF39CD"/>
    <w:rsid w:val="00BF3EC9"/>
    <w:rsid w:val="00BF3F21"/>
    <w:rsid w:val="00BF5260"/>
    <w:rsid w:val="00BF542C"/>
    <w:rsid w:val="00BF5779"/>
    <w:rsid w:val="00BF5B55"/>
    <w:rsid w:val="00BF6AB2"/>
    <w:rsid w:val="00C00103"/>
    <w:rsid w:val="00C00266"/>
    <w:rsid w:val="00C0044C"/>
    <w:rsid w:val="00C00B50"/>
    <w:rsid w:val="00C00BC9"/>
    <w:rsid w:val="00C00F51"/>
    <w:rsid w:val="00C0121E"/>
    <w:rsid w:val="00C01342"/>
    <w:rsid w:val="00C01A0F"/>
    <w:rsid w:val="00C02EF1"/>
    <w:rsid w:val="00C037B9"/>
    <w:rsid w:val="00C03856"/>
    <w:rsid w:val="00C03B1A"/>
    <w:rsid w:val="00C04F42"/>
    <w:rsid w:val="00C05723"/>
    <w:rsid w:val="00C057E7"/>
    <w:rsid w:val="00C05A1A"/>
    <w:rsid w:val="00C05BBA"/>
    <w:rsid w:val="00C05C3B"/>
    <w:rsid w:val="00C05DF8"/>
    <w:rsid w:val="00C0663C"/>
    <w:rsid w:val="00C068B0"/>
    <w:rsid w:val="00C07709"/>
    <w:rsid w:val="00C07D0B"/>
    <w:rsid w:val="00C101FA"/>
    <w:rsid w:val="00C10CD7"/>
    <w:rsid w:val="00C111AE"/>
    <w:rsid w:val="00C11D2C"/>
    <w:rsid w:val="00C11DC1"/>
    <w:rsid w:val="00C11EEF"/>
    <w:rsid w:val="00C11F11"/>
    <w:rsid w:val="00C129C4"/>
    <w:rsid w:val="00C12B21"/>
    <w:rsid w:val="00C13760"/>
    <w:rsid w:val="00C13976"/>
    <w:rsid w:val="00C13D5E"/>
    <w:rsid w:val="00C13D6C"/>
    <w:rsid w:val="00C1408A"/>
    <w:rsid w:val="00C142A3"/>
    <w:rsid w:val="00C15279"/>
    <w:rsid w:val="00C159F7"/>
    <w:rsid w:val="00C15DE5"/>
    <w:rsid w:val="00C16E9F"/>
    <w:rsid w:val="00C1764E"/>
    <w:rsid w:val="00C176E7"/>
    <w:rsid w:val="00C17CFE"/>
    <w:rsid w:val="00C17E9F"/>
    <w:rsid w:val="00C20DA0"/>
    <w:rsid w:val="00C20E52"/>
    <w:rsid w:val="00C2158E"/>
    <w:rsid w:val="00C2165A"/>
    <w:rsid w:val="00C219C8"/>
    <w:rsid w:val="00C219ED"/>
    <w:rsid w:val="00C220FC"/>
    <w:rsid w:val="00C22683"/>
    <w:rsid w:val="00C22A4E"/>
    <w:rsid w:val="00C22A8B"/>
    <w:rsid w:val="00C2304A"/>
    <w:rsid w:val="00C2319A"/>
    <w:rsid w:val="00C2326A"/>
    <w:rsid w:val="00C233FD"/>
    <w:rsid w:val="00C23485"/>
    <w:rsid w:val="00C23A25"/>
    <w:rsid w:val="00C23BC4"/>
    <w:rsid w:val="00C24259"/>
    <w:rsid w:val="00C2574A"/>
    <w:rsid w:val="00C25DEA"/>
    <w:rsid w:val="00C25F54"/>
    <w:rsid w:val="00C260C2"/>
    <w:rsid w:val="00C2613C"/>
    <w:rsid w:val="00C26F3C"/>
    <w:rsid w:val="00C27422"/>
    <w:rsid w:val="00C27847"/>
    <w:rsid w:val="00C2785D"/>
    <w:rsid w:val="00C3087C"/>
    <w:rsid w:val="00C30D41"/>
    <w:rsid w:val="00C314D4"/>
    <w:rsid w:val="00C3155B"/>
    <w:rsid w:val="00C317FB"/>
    <w:rsid w:val="00C3246A"/>
    <w:rsid w:val="00C32F0F"/>
    <w:rsid w:val="00C3309D"/>
    <w:rsid w:val="00C33395"/>
    <w:rsid w:val="00C33556"/>
    <w:rsid w:val="00C3385E"/>
    <w:rsid w:val="00C3389D"/>
    <w:rsid w:val="00C33989"/>
    <w:rsid w:val="00C33AC9"/>
    <w:rsid w:val="00C33F84"/>
    <w:rsid w:val="00C33FC7"/>
    <w:rsid w:val="00C3402B"/>
    <w:rsid w:val="00C343D8"/>
    <w:rsid w:val="00C34696"/>
    <w:rsid w:val="00C347C8"/>
    <w:rsid w:val="00C34928"/>
    <w:rsid w:val="00C3565A"/>
    <w:rsid w:val="00C35B84"/>
    <w:rsid w:val="00C36425"/>
    <w:rsid w:val="00C3710F"/>
    <w:rsid w:val="00C37706"/>
    <w:rsid w:val="00C37855"/>
    <w:rsid w:val="00C40E1E"/>
    <w:rsid w:val="00C414C0"/>
    <w:rsid w:val="00C41BB7"/>
    <w:rsid w:val="00C422D2"/>
    <w:rsid w:val="00C428D2"/>
    <w:rsid w:val="00C430CA"/>
    <w:rsid w:val="00C432C2"/>
    <w:rsid w:val="00C4368B"/>
    <w:rsid w:val="00C43BD5"/>
    <w:rsid w:val="00C44D40"/>
    <w:rsid w:val="00C45894"/>
    <w:rsid w:val="00C45905"/>
    <w:rsid w:val="00C45A8B"/>
    <w:rsid w:val="00C4654C"/>
    <w:rsid w:val="00C4692C"/>
    <w:rsid w:val="00C46BFD"/>
    <w:rsid w:val="00C46E29"/>
    <w:rsid w:val="00C46F95"/>
    <w:rsid w:val="00C47D6A"/>
    <w:rsid w:val="00C504E6"/>
    <w:rsid w:val="00C50D7C"/>
    <w:rsid w:val="00C511F7"/>
    <w:rsid w:val="00C51626"/>
    <w:rsid w:val="00C51B99"/>
    <w:rsid w:val="00C51EBF"/>
    <w:rsid w:val="00C52ACE"/>
    <w:rsid w:val="00C52CE4"/>
    <w:rsid w:val="00C53002"/>
    <w:rsid w:val="00C530FE"/>
    <w:rsid w:val="00C53C93"/>
    <w:rsid w:val="00C540A2"/>
    <w:rsid w:val="00C544AC"/>
    <w:rsid w:val="00C544E2"/>
    <w:rsid w:val="00C54E6F"/>
    <w:rsid w:val="00C5508E"/>
    <w:rsid w:val="00C550D2"/>
    <w:rsid w:val="00C55485"/>
    <w:rsid w:val="00C55AB1"/>
    <w:rsid w:val="00C565BF"/>
    <w:rsid w:val="00C567C8"/>
    <w:rsid w:val="00C567FA"/>
    <w:rsid w:val="00C5767D"/>
    <w:rsid w:val="00C576FE"/>
    <w:rsid w:val="00C57D78"/>
    <w:rsid w:val="00C6021A"/>
    <w:rsid w:val="00C60403"/>
    <w:rsid w:val="00C609AE"/>
    <w:rsid w:val="00C60E90"/>
    <w:rsid w:val="00C61045"/>
    <w:rsid w:val="00C617C1"/>
    <w:rsid w:val="00C618CF"/>
    <w:rsid w:val="00C61972"/>
    <w:rsid w:val="00C61BE7"/>
    <w:rsid w:val="00C6218C"/>
    <w:rsid w:val="00C62265"/>
    <w:rsid w:val="00C623D9"/>
    <w:rsid w:val="00C625E4"/>
    <w:rsid w:val="00C62C0F"/>
    <w:rsid w:val="00C630E4"/>
    <w:rsid w:val="00C635A3"/>
    <w:rsid w:val="00C63B17"/>
    <w:rsid w:val="00C63B6B"/>
    <w:rsid w:val="00C63D62"/>
    <w:rsid w:val="00C64F4E"/>
    <w:rsid w:val="00C65266"/>
    <w:rsid w:val="00C655A1"/>
    <w:rsid w:val="00C65819"/>
    <w:rsid w:val="00C65AD1"/>
    <w:rsid w:val="00C65C19"/>
    <w:rsid w:val="00C65C21"/>
    <w:rsid w:val="00C662F6"/>
    <w:rsid w:val="00C667F0"/>
    <w:rsid w:val="00C66858"/>
    <w:rsid w:val="00C66889"/>
    <w:rsid w:val="00C668AF"/>
    <w:rsid w:val="00C6724F"/>
    <w:rsid w:val="00C67A13"/>
    <w:rsid w:val="00C67D8E"/>
    <w:rsid w:val="00C67FC9"/>
    <w:rsid w:val="00C70B8D"/>
    <w:rsid w:val="00C70E99"/>
    <w:rsid w:val="00C70EFF"/>
    <w:rsid w:val="00C7100C"/>
    <w:rsid w:val="00C711B2"/>
    <w:rsid w:val="00C71463"/>
    <w:rsid w:val="00C71518"/>
    <w:rsid w:val="00C71F34"/>
    <w:rsid w:val="00C723B8"/>
    <w:rsid w:val="00C72B2D"/>
    <w:rsid w:val="00C73567"/>
    <w:rsid w:val="00C73B04"/>
    <w:rsid w:val="00C73CFE"/>
    <w:rsid w:val="00C73D73"/>
    <w:rsid w:val="00C73F6B"/>
    <w:rsid w:val="00C73FC6"/>
    <w:rsid w:val="00C7464D"/>
    <w:rsid w:val="00C74BBE"/>
    <w:rsid w:val="00C75454"/>
    <w:rsid w:val="00C76037"/>
    <w:rsid w:val="00C76606"/>
    <w:rsid w:val="00C76C19"/>
    <w:rsid w:val="00C77189"/>
    <w:rsid w:val="00C775CA"/>
    <w:rsid w:val="00C777C3"/>
    <w:rsid w:val="00C77B1E"/>
    <w:rsid w:val="00C77CFC"/>
    <w:rsid w:val="00C80382"/>
    <w:rsid w:val="00C80B3A"/>
    <w:rsid w:val="00C80BFE"/>
    <w:rsid w:val="00C810A4"/>
    <w:rsid w:val="00C8128E"/>
    <w:rsid w:val="00C82278"/>
    <w:rsid w:val="00C82663"/>
    <w:rsid w:val="00C8350A"/>
    <w:rsid w:val="00C8371E"/>
    <w:rsid w:val="00C837AD"/>
    <w:rsid w:val="00C83AD5"/>
    <w:rsid w:val="00C83CE4"/>
    <w:rsid w:val="00C84422"/>
    <w:rsid w:val="00C84571"/>
    <w:rsid w:val="00C84BE4"/>
    <w:rsid w:val="00C84FAA"/>
    <w:rsid w:val="00C8538D"/>
    <w:rsid w:val="00C85A77"/>
    <w:rsid w:val="00C85BE9"/>
    <w:rsid w:val="00C86710"/>
    <w:rsid w:val="00C86CF2"/>
    <w:rsid w:val="00C87974"/>
    <w:rsid w:val="00C879DB"/>
    <w:rsid w:val="00C87D70"/>
    <w:rsid w:val="00C87D84"/>
    <w:rsid w:val="00C87EB3"/>
    <w:rsid w:val="00C902D5"/>
    <w:rsid w:val="00C904D5"/>
    <w:rsid w:val="00C9100B"/>
    <w:rsid w:val="00C9184B"/>
    <w:rsid w:val="00C91A17"/>
    <w:rsid w:val="00C91A21"/>
    <w:rsid w:val="00C91F83"/>
    <w:rsid w:val="00C926BF"/>
    <w:rsid w:val="00C92B24"/>
    <w:rsid w:val="00C930DC"/>
    <w:rsid w:val="00C933E1"/>
    <w:rsid w:val="00C9413C"/>
    <w:rsid w:val="00C94753"/>
    <w:rsid w:val="00C9503E"/>
    <w:rsid w:val="00C951A1"/>
    <w:rsid w:val="00C95347"/>
    <w:rsid w:val="00C95548"/>
    <w:rsid w:val="00C9557A"/>
    <w:rsid w:val="00C95D0D"/>
    <w:rsid w:val="00C95FF2"/>
    <w:rsid w:val="00C965E9"/>
    <w:rsid w:val="00C970DB"/>
    <w:rsid w:val="00C971EE"/>
    <w:rsid w:val="00C973E5"/>
    <w:rsid w:val="00C974A2"/>
    <w:rsid w:val="00C979C8"/>
    <w:rsid w:val="00C97AD4"/>
    <w:rsid w:val="00C97D67"/>
    <w:rsid w:val="00CA095F"/>
    <w:rsid w:val="00CA0AAE"/>
    <w:rsid w:val="00CA0B36"/>
    <w:rsid w:val="00CA0C06"/>
    <w:rsid w:val="00CA11CE"/>
    <w:rsid w:val="00CA1AED"/>
    <w:rsid w:val="00CA2224"/>
    <w:rsid w:val="00CA285E"/>
    <w:rsid w:val="00CA2E70"/>
    <w:rsid w:val="00CA3D88"/>
    <w:rsid w:val="00CA42BE"/>
    <w:rsid w:val="00CA4D2F"/>
    <w:rsid w:val="00CA5084"/>
    <w:rsid w:val="00CA53C1"/>
    <w:rsid w:val="00CA5AB3"/>
    <w:rsid w:val="00CA6389"/>
    <w:rsid w:val="00CA6D3B"/>
    <w:rsid w:val="00CA70ED"/>
    <w:rsid w:val="00CA7631"/>
    <w:rsid w:val="00CA7D27"/>
    <w:rsid w:val="00CA7F9B"/>
    <w:rsid w:val="00CB04DB"/>
    <w:rsid w:val="00CB04F8"/>
    <w:rsid w:val="00CB06AF"/>
    <w:rsid w:val="00CB09CD"/>
    <w:rsid w:val="00CB0F82"/>
    <w:rsid w:val="00CB116F"/>
    <w:rsid w:val="00CB1E3B"/>
    <w:rsid w:val="00CB1F5A"/>
    <w:rsid w:val="00CB22B2"/>
    <w:rsid w:val="00CB2AB2"/>
    <w:rsid w:val="00CB2AB6"/>
    <w:rsid w:val="00CB33CF"/>
    <w:rsid w:val="00CB346A"/>
    <w:rsid w:val="00CB35AD"/>
    <w:rsid w:val="00CB3B16"/>
    <w:rsid w:val="00CB3EFE"/>
    <w:rsid w:val="00CB43ED"/>
    <w:rsid w:val="00CB4D21"/>
    <w:rsid w:val="00CB5622"/>
    <w:rsid w:val="00CB5768"/>
    <w:rsid w:val="00CB59A4"/>
    <w:rsid w:val="00CB630E"/>
    <w:rsid w:val="00CB6618"/>
    <w:rsid w:val="00CB6DE6"/>
    <w:rsid w:val="00CB6F29"/>
    <w:rsid w:val="00CC01C8"/>
    <w:rsid w:val="00CC081A"/>
    <w:rsid w:val="00CC08C7"/>
    <w:rsid w:val="00CC1B3B"/>
    <w:rsid w:val="00CC247D"/>
    <w:rsid w:val="00CC2B8E"/>
    <w:rsid w:val="00CC306F"/>
    <w:rsid w:val="00CC34ED"/>
    <w:rsid w:val="00CC3617"/>
    <w:rsid w:val="00CC36EB"/>
    <w:rsid w:val="00CC3830"/>
    <w:rsid w:val="00CC3FD1"/>
    <w:rsid w:val="00CC404A"/>
    <w:rsid w:val="00CC44F9"/>
    <w:rsid w:val="00CC4F5F"/>
    <w:rsid w:val="00CC5939"/>
    <w:rsid w:val="00CC67C9"/>
    <w:rsid w:val="00CC6CCD"/>
    <w:rsid w:val="00CC74DE"/>
    <w:rsid w:val="00CC786D"/>
    <w:rsid w:val="00CC7E5B"/>
    <w:rsid w:val="00CD07DB"/>
    <w:rsid w:val="00CD171E"/>
    <w:rsid w:val="00CD1921"/>
    <w:rsid w:val="00CD1956"/>
    <w:rsid w:val="00CD197D"/>
    <w:rsid w:val="00CD1BE9"/>
    <w:rsid w:val="00CD3076"/>
    <w:rsid w:val="00CD34CD"/>
    <w:rsid w:val="00CD4782"/>
    <w:rsid w:val="00CD4BC8"/>
    <w:rsid w:val="00CD5486"/>
    <w:rsid w:val="00CD57A7"/>
    <w:rsid w:val="00CD6050"/>
    <w:rsid w:val="00CD6151"/>
    <w:rsid w:val="00CD65DB"/>
    <w:rsid w:val="00CD6B0F"/>
    <w:rsid w:val="00CD6BFE"/>
    <w:rsid w:val="00CD6C09"/>
    <w:rsid w:val="00CD71BC"/>
    <w:rsid w:val="00CD71F5"/>
    <w:rsid w:val="00CD7271"/>
    <w:rsid w:val="00CD7297"/>
    <w:rsid w:val="00CD72CF"/>
    <w:rsid w:val="00CD7B3A"/>
    <w:rsid w:val="00CD7CD7"/>
    <w:rsid w:val="00CD7E82"/>
    <w:rsid w:val="00CE0A31"/>
    <w:rsid w:val="00CE0C8B"/>
    <w:rsid w:val="00CE1017"/>
    <w:rsid w:val="00CE103B"/>
    <w:rsid w:val="00CE1155"/>
    <w:rsid w:val="00CE1662"/>
    <w:rsid w:val="00CE1734"/>
    <w:rsid w:val="00CE1981"/>
    <w:rsid w:val="00CE3601"/>
    <w:rsid w:val="00CE3650"/>
    <w:rsid w:val="00CE482B"/>
    <w:rsid w:val="00CE4959"/>
    <w:rsid w:val="00CE4B7B"/>
    <w:rsid w:val="00CE4F74"/>
    <w:rsid w:val="00CE5287"/>
    <w:rsid w:val="00CE532C"/>
    <w:rsid w:val="00CE551E"/>
    <w:rsid w:val="00CE57BA"/>
    <w:rsid w:val="00CE6F43"/>
    <w:rsid w:val="00CE7BCF"/>
    <w:rsid w:val="00CE7D96"/>
    <w:rsid w:val="00CE7EAE"/>
    <w:rsid w:val="00CF040C"/>
    <w:rsid w:val="00CF07B9"/>
    <w:rsid w:val="00CF0E8D"/>
    <w:rsid w:val="00CF0E92"/>
    <w:rsid w:val="00CF0FC6"/>
    <w:rsid w:val="00CF103F"/>
    <w:rsid w:val="00CF1060"/>
    <w:rsid w:val="00CF2309"/>
    <w:rsid w:val="00CF24D9"/>
    <w:rsid w:val="00CF293A"/>
    <w:rsid w:val="00CF2984"/>
    <w:rsid w:val="00CF2B8E"/>
    <w:rsid w:val="00CF2E1E"/>
    <w:rsid w:val="00CF3A27"/>
    <w:rsid w:val="00CF3A99"/>
    <w:rsid w:val="00CF3F48"/>
    <w:rsid w:val="00CF4200"/>
    <w:rsid w:val="00CF428C"/>
    <w:rsid w:val="00CF476E"/>
    <w:rsid w:val="00CF49A5"/>
    <w:rsid w:val="00CF4BCE"/>
    <w:rsid w:val="00CF50C2"/>
    <w:rsid w:val="00CF51AF"/>
    <w:rsid w:val="00CF6F23"/>
    <w:rsid w:val="00CF728D"/>
    <w:rsid w:val="00CF7D3E"/>
    <w:rsid w:val="00D00121"/>
    <w:rsid w:val="00D00A56"/>
    <w:rsid w:val="00D00DC7"/>
    <w:rsid w:val="00D01148"/>
    <w:rsid w:val="00D012DB"/>
    <w:rsid w:val="00D01394"/>
    <w:rsid w:val="00D0191A"/>
    <w:rsid w:val="00D01D58"/>
    <w:rsid w:val="00D027E0"/>
    <w:rsid w:val="00D027F2"/>
    <w:rsid w:val="00D0342F"/>
    <w:rsid w:val="00D03B5B"/>
    <w:rsid w:val="00D03DEF"/>
    <w:rsid w:val="00D03FFA"/>
    <w:rsid w:val="00D040D8"/>
    <w:rsid w:val="00D04C83"/>
    <w:rsid w:val="00D04D34"/>
    <w:rsid w:val="00D04E82"/>
    <w:rsid w:val="00D053BF"/>
    <w:rsid w:val="00D05867"/>
    <w:rsid w:val="00D05A10"/>
    <w:rsid w:val="00D06FF3"/>
    <w:rsid w:val="00D07143"/>
    <w:rsid w:val="00D07545"/>
    <w:rsid w:val="00D1017C"/>
    <w:rsid w:val="00D10444"/>
    <w:rsid w:val="00D105A8"/>
    <w:rsid w:val="00D10716"/>
    <w:rsid w:val="00D11313"/>
    <w:rsid w:val="00D11619"/>
    <w:rsid w:val="00D11788"/>
    <w:rsid w:val="00D11852"/>
    <w:rsid w:val="00D11AE7"/>
    <w:rsid w:val="00D11E61"/>
    <w:rsid w:val="00D11F55"/>
    <w:rsid w:val="00D12102"/>
    <w:rsid w:val="00D126D8"/>
    <w:rsid w:val="00D12C60"/>
    <w:rsid w:val="00D12EB8"/>
    <w:rsid w:val="00D12FC2"/>
    <w:rsid w:val="00D131E6"/>
    <w:rsid w:val="00D13293"/>
    <w:rsid w:val="00D1388C"/>
    <w:rsid w:val="00D13941"/>
    <w:rsid w:val="00D13A42"/>
    <w:rsid w:val="00D13E08"/>
    <w:rsid w:val="00D14B9C"/>
    <w:rsid w:val="00D15404"/>
    <w:rsid w:val="00D15547"/>
    <w:rsid w:val="00D157B3"/>
    <w:rsid w:val="00D166C6"/>
    <w:rsid w:val="00D16978"/>
    <w:rsid w:val="00D1697A"/>
    <w:rsid w:val="00D16A21"/>
    <w:rsid w:val="00D16A28"/>
    <w:rsid w:val="00D16BFF"/>
    <w:rsid w:val="00D176B5"/>
    <w:rsid w:val="00D176C4"/>
    <w:rsid w:val="00D17B11"/>
    <w:rsid w:val="00D200A6"/>
    <w:rsid w:val="00D20221"/>
    <w:rsid w:val="00D20BC3"/>
    <w:rsid w:val="00D20CC7"/>
    <w:rsid w:val="00D21400"/>
    <w:rsid w:val="00D21F7E"/>
    <w:rsid w:val="00D2217B"/>
    <w:rsid w:val="00D22437"/>
    <w:rsid w:val="00D2244C"/>
    <w:rsid w:val="00D22585"/>
    <w:rsid w:val="00D231BD"/>
    <w:rsid w:val="00D23630"/>
    <w:rsid w:val="00D2476C"/>
    <w:rsid w:val="00D2478D"/>
    <w:rsid w:val="00D2504D"/>
    <w:rsid w:val="00D25506"/>
    <w:rsid w:val="00D255E6"/>
    <w:rsid w:val="00D25FD0"/>
    <w:rsid w:val="00D2654E"/>
    <w:rsid w:val="00D26562"/>
    <w:rsid w:val="00D265C6"/>
    <w:rsid w:val="00D266CD"/>
    <w:rsid w:val="00D26B5E"/>
    <w:rsid w:val="00D273B1"/>
    <w:rsid w:val="00D274B0"/>
    <w:rsid w:val="00D30B88"/>
    <w:rsid w:val="00D30C04"/>
    <w:rsid w:val="00D31323"/>
    <w:rsid w:val="00D316D7"/>
    <w:rsid w:val="00D3306A"/>
    <w:rsid w:val="00D3333C"/>
    <w:rsid w:val="00D336D8"/>
    <w:rsid w:val="00D33AF3"/>
    <w:rsid w:val="00D34632"/>
    <w:rsid w:val="00D34DCD"/>
    <w:rsid w:val="00D34ECD"/>
    <w:rsid w:val="00D353A8"/>
    <w:rsid w:val="00D357C4"/>
    <w:rsid w:val="00D35801"/>
    <w:rsid w:val="00D36527"/>
    <w:rsid w:val="00D365AE"/>
    <w:rsid w:val="00D36729"/>
    <w:rsid w:val="00D37136"/>
    <w:rsid w:val="00D3718D"/>
    <w:rsid w:val="00D37282"/>
    <w:rsid w:val="00D37863"/>
    <w:rsid w:val="00D37900"/>
    <w:rsid w:val="00D3792F"/>
    <w:rsid w:val="00D4042F"/>
    <w:rsid w:val="00D404C4"/>
    <w:rsid w:val="00D404E5"/>
    <w:rsid w:val="00D40530"/>
    <w:rsid w:val="00D407ED"/>
    <w:rsid w:val="00D40C57"/>
    <w:rsid w:val="00D411E7"/>
    <w:rsid w:val="00D41564"/>
    <w:rsid w:val="00D41A40"/>
    <w:rsid w:val="00D4204B"/>
    <w:rsid w:val="00D422A1"/>
    <w:rsid w:val="00D425FF"/>
    <w:rsid w:val="00D427FE"/>
    <w:rsid w:val="00D42D2D"/>
    <w:rsid w:val="00D42D31"/>
    <w:rsid w:val="00D436BC"/>
    <w:rsid w:val="00D43CEA"/>
    <w:rsid w:val="00D43D5E"/>
    <w:rsid w:val="00D43D9B"/>
    <w:rsid w:val="00D43E4E"/>
    <w:rsid w:val="00D43E76"/>
    <w:rsid w:val="00D44E6F"/>
    <w:rsid w:val="00D4563E"/>
    <w:rsid w:val="00D456C4"/>
    <w:rsid w:val="00D45D97"/>
    <w:rsid w:val="00D460CE"/>
    <w:rsid w:val="00D461DA"/>
    <w:rsid w:val="00D46348"/>
    <w:rsid w:val="00D467F0"/>
    <w:rsid w:val="00D47323"/>
    <w:rsid w:val="00D47AF0"/>
    <w:rsid w:val="00D50078"/>
    <w:rsid w:val="00D501A4"/>
    <w:rsid w:val="00D501CD"/>
    <w:rsid w:val="00D522AE"/>
    <w:rsid w:val="00D5232C"/>
    <w:rsid w:val="00D52DBF"/>
    <w:rsid w:val="00D53115"/>
    <w:rsid w:val="00D54879"/>
    <w:rsid w:val="00D55C9B"/>
    <w:rsid w:val="00D55CB9"/>
    <w:rsid w:val="00D55F29"/>
    <w:rsid w:val="00D56490"/>
    <w:rsid w:val="00D573A4"/>
    <w:rsid w:val="00D57867"/>
    <w:rsid w:val="00D57A50"/>
    <w:rsid w:val="00D57BD1"/>
    <w:rsid w:val="00D60284"/>
    <w:rsid w:val="00D605B7"/>
    <w:rsid w:val="00D60A45"/>
    <w:rsid w:val="00D6128C"/>
    <w:rsid w:val="00D61646"/>
    <w:rsid w:val="00D61E2A"/>
    <w:rsid w:val="00D62966"/>
    <w:rsid w:val="00D62A51"/>
    <w:rsid w:val="00D62CBE"/>
    <w:rsid w:val="00D62D4B"/>
    <w:rsid w:val="00D62E73"/>
    <w:rsid w:val="00D632F5"/>
    <w:rsid w:val="00D6390D"/>
    <w:rsid w:val="00D63DF6"/>
    <w:rsid w:val="00D63FDA"/>
    <w:rsid w:val="00D64127"/>
    <w:rsid w:val="00D641DA"/>
    <w:rsid w:val="00D64392"/>
    <w:rsid w:val="00D65098"/>
    <w:rsid w:val="00D65208"/>
    <w:rsid w:val="00D65898"/>
    <w:rsid w:val="00D66ADC"/>
    <w:rsid w:val="00D66F00"/>
    <w:rsid w:val="00D675F8"/>
    <w:rsid w:val="00D67648"/>
    <w:rsid w:val="00D67CFC"/>
    <w:rsid w:val="00D67F38"/>
    <w:rsid w:val="00D70517"/>
    <w:rsid w:val="00D70565"/>
    <w:rsid w:val="00D70850"/>
    <w:rsid w:val="00D7087F"/>
    <w:rsid w:val="00D70E13"/>
    <w:rsid w:val="00D71D65"/>
    <w:rsid w:val="00D72580"/>
    <w:rsid w:val="00D72811"/>
    <w:rsid w:val="00D72B0B"/>
    <w:rsid w:val="00D730AB"/>
    <w:rsid w:val="00D730C0"/>
    <w:rsid w:val="00D7321E"/>
    <w:rsid w:val="00D73493"/>
    <w:rsid w:val="00D73980"/>
    <w:rsid w:val="00D73A46"/>
    <w:rsid w:val="00D73DC8"/>
    <w:rsid w:val="00D74723"/>
    <w:rsid w:val="00D74CB3"/>
    <w:rsid w:val="00D7527A"/>
    <w:rsid w:val="00D754F6"/>
    <w:rsid w:val="00D759A4"/>
    <w:rsid w:val="00D75B4C"/>
    <w:rsid w:val="00D76BBD"/>
    <w:rsid w:val="00D77058"/>
    <w:rsid w:val="00D77707"/>
    <w:rsid w:val="00D779C1"/>
    <w:rsid w:val="00D77B60"/>
    <w:rsid w:val="00D803B1"/>
    <w:rsid w:val="00D808AA"/>
    <w:rsid w:val="00D80D37"/>
    <w:rsid w:val="00D80E10"/>
    <w:rsid w:val="00D81633"/>
    <w:rsid w:val="00D81A30"/>
    <w:rsid w:val="00D81BC8"/>
    <w:rsid w:val="00D81CA0"/>
    <w:rsid w:val="00D82803"/>
    <w:rsid w:val="00D82B1E"/>
    <w:rsid w:val="00D8413A"/>
    <w:rsid w:val="00D84E96"/>
    <w:rsid w:val="00D84EDA"/>
    <w:rsid w:val="00D85334"/>
    <w:rsid w:val="00D86869"/>
    <w:rsid w:val="00D90281"/>
    <w:rsid w:val="00D90378"/>
    <w:rsid w:val="00D90FFB"/>
    <w:rsid w:val="00D91A77"/>
    <w:rsid w:val="00D91CF0"/>
    <w:rsid w:val="00D91D41"/>
    <w:rsid w:val="00D91D88"/>
    <w:rsid w:val="00D91EE1"/>
    <w:rsid w:val="00D9207F"/>
    <w:rsid w:val="00D92490"/>
    <w:rsid w:val="00D926B0"/>
    <w:rsid w:val="00D926CD"/>
    <w:rsid w:val="00D926E6"/>
    <w:rsid w:val="00D92859"/>
    <w:rsid w:val="00D92CAD"/>
    <w:rsid w:val="00D9359E"/>
    <w:rsid w:val="00D93872"/>
    <w:rsid w:val="00D93E7B"/>
    <w:rsid w:val="00D940DB"/>
    <w:rsid w:val="00D942EF"/>
    <w:rsid w:val="00D94CD9"/>
    <w:rsid w:val="00D94DC7"/>
    <w:rsid w:val="00D954BC"/>
    <w:rsid w:val="00D957C6"/>
    <w:rsid w:val="00D95BF3"/>
    <w:rsid w:val="00D964DC"/>
    <w:rsid w:val="00D96915"/>
    <w:rsid w:val="00D97AB0"/>
    <w:rsid w:val="00DA03D6"/>
    <w:rsid w:val="00DA1B8E"/>
    <w:rsid w:val="00DA1F4C"/>
    <w:rsid w:val="00DA1FA6"/>
    <w:rsid w:val="00DA2CBC"/>
    <w:rsid w:val="00DA3480"/>
    <w:rsid w:val="00DA3A78"/>
    <w:rsid w:val="00DA3C9D"/>
    <w:rsid w:val="00DA3CE6"/>
    <w:rsid w:val="00DA3CFE"/>
    <w:rsid w:val="00DA400F"/>
    <w:rsid w:val="00DA4067"/>
    <w:rsid w:val="00DA4959"/>
    <w:rsid w:val="00DA51FD"/>
    <w:rsid w:val="00DA542A"/>
    <w:rsid w:val="00DA580A"/>
    <w:rsid w:val="00DA58B1"/>
    <w:rsid w:val="00DA5DEC"/>
    <w:rsid w:val="00DA66B8"/>
    <w:rsid w:val="00DA6841"/>
    <w:rsid w:val="00DA68D7"/>
    <w:rsid w:val="00DA6B00"/>
    <w:rsid w:val="00DA6B63"/>
    <w:rsid w:val="00DA6EFE"/>
    <w:rsid w:val="00DA7F2E"/>
    <w:rsid w:val="00DB0128"/>
    <w:rsid w:val="00DB033C"/>
    <w:rsid w:val="00DB05CD"/>
    <w:rsid w:val="00DB0675"/>
    <w:rsid w:val="00DB087C"/>
    <w:rsid w:val="00DB0DB9"/>
    <w:rsid w:val="00DB123A"/>
    <w:rsid w:val="00DB1B68"/>
    <w:rsid w:val="00DB2201"/>
    <w:rsid w:val="00DB2A17"/>
    <w:rsid w:val="00DB2D02"/>
    <w:rsid w:val="00DB2EF9"/>
    <w:rsid w:val="00DB3172"/>
    <w:rsid w:val="00DB32F5"/>
    <w:rsid w:val="00DB38F7"/>
    <w:rsid w:val="00DB4DDD"/>
    <w:rsid w:val="00DB5732"/>
    <w:rsid w:val="00DB581B"/>
    <w:rsid w:val="00DB6612"/>
    <w:rsid w:val="00DB773D"/>
    <w:rsid w:val="00DB77DD"/>
    <w:rsid w:val="00DB7D49"/>
    <w:rsid w:val="00DC0250"/>
    <w:rsid w:val="00DC0B66"/>
    <w:rsid w:val="00DC1195"/>
    <w:rsid w:val="00DC130E"/>
    <w:rsid w:val="00DC158D"/>
    <w:rsid w:val="00DC1B26"/>
    <w:rsid w:val="00DC32D1"/>
    <w:rsid w:val="00DC33FA"/>
    <w:rsid w:val="00DC3491"/>
    <w:rsid w:val="00DC34AC"/>
    <w:rsid w:val="00DC3697"/>
    <w:rsid w:val="00DC36BA"/>
    <w:rsid w:val="00DC37C3"/>
    <w:rsid w:val="00DC38BB"/>
    <w:rsid w:val="00DC398F"/>
    <w:rsid w:val="00DC3B22"/>
    <w:rsid w:val="00DC3DBD"/>
    <w:rsid w:val="00DC407E"/>
    <w:rsid w:val="00DC4636"/>
    <w:rsid w:val="00DC46C0"/>
    <w:rsid w:val="00DC4955"/>
    <w:rsid w:val="00DC4EA9"/>
    <w:rsid w:val="00DC4EDD"/>
    <w:rsid w:val="00DC5201"/>
    <w:rsid w:val="00DC551B"/>
    <w:rsid w:val="00DC6813"/>
    <w:rsid w:val="00DC6F8E"/>
    <w:rsid w:val="00DC72D9"/>
    <w:rsid w:val="00DC76C9"/>
    <w:rsid w:val="00DC7A7A"/>
    <w:rsid w:val="00DC7D52"/>
    <w:rsid w:val="00DD033C"/>
    <w:rsid w:val="00DD0599"/>
    <w:rsid w:val="00DD1112"/>
    <w:rsid w:val="00DD194E"/>
    <w:rsid w:val="00DD1B29"/>
    <w:rsid w:val="00DD1CD8"/>
    <w:rsid w:val="00DD1FB0"/>
    <w:rsid w:val="00DD250F"/>
    <w:rsid w:val="00DD2517"/>
    <w:rsid w:val="00DD2C7B"/>
    <w:rsid w:val="00DD2CDF"/>
    <w:rsid w:val="00DD2FC9"/>
    <w:rsid w:val="00DD40F5"/>
    <w:rsid w:val="00DD412E"/>
    <w:rsid w:val="00DD4366"/>
    <w:rsid w:val="00DD4993"/>
    <w:rsid w:val="00DD4997"/>
    <w:rsid w:val="00DD4B9D"/>
    <w:rsid w:val="00DD506F"/>
    <w:rsid w:val="00DD51B6"/>
    <w:rsid w:val="00DD5529"/>
    <w:rsid w:val="00DD55C8"/>
    <w:rsid w:val="00DD62C1"/>
    <w:rsid w:val="00DD677D"/>
    <w:rsid w:val="00DD6DE0"/>
    <w:rsid w:val="00DD6E16"/>
    <w:rsid w:val="00DD73A5"/>
    <w:rsid w:val="00DD7B8D"/>
    <w:rsid w:val="00DD7BDE"/>
    <w:rsid w:val="00DD7F04"/>
    <w:rsid w:val="00DD7F46"/>
    <w:rsid w:val="00DE01E8"/>
    <w:rsid w:val="00DE0508"/>
    <w:rsid w:val="00DE0544"/>
    <w:rsid w:val="00DE0702"/>
    <w:rsid w:val="00DE0E1F"/>
    <w:rsid w:val="00DE0E2B"/>
    <w:rsid w:val="00DE1A92"/>
    <w:rsid w:val="00DE2953"/>
    <w:rsid w:val="00DE3379"/>
    <w:rsid w:val="00DE3699"/>
    <w:rsid w:val="00DE3B41"/>
    <w:rsid w:val="00DE4A61"/>
    <w:rsid w:val="00DE5128"/>
    <w:rsid w:val="00DE567B"/>
    <w:rsid w:val="00DE57E8"/>
    <w:rsid w:val="00DE5842"/>
    <w:rsid w:val="00DE5A4D"/>
    <w:rsid w:val="00DE5D13"/>
    <w:rsid w:val="00DE5D4C"/>
    <w:rsid w:val="00DE72E2"/>
    <w:rsid w:val="00DF0A50"/>
    <w:rsid w:val="00DF0C42"/>
    <w:rsid w:val="00DF1984"/>
    <w:rsid w:val="00DF1EBC"/>
    <w:rsid w:val="00DF1F0A"/>
    <w:rsid w:val="00DF2382"/>
    <w:rsid w:val="00DF2516"/>
    <w:rsid w:val="00DF29F6"/>
    <w:rsid w:val="00DF2C1F"/>
    <w:rsid w:val="00DF2EB6"/>
    <w:rsid w:val="00DF3833"/>
    <w:rsid w:val="00DF3AC0"/>
    <w:rsid w:val="00DF4017"/>
    <w:rsid w:val="00DF4652"/>
    <w:rsid w:val="00DF4881"/>
    <w:rsid w:val="00DF4C2F"/>
    <w:rsid w:val="00DF4D18"/>
    <w:rsid w:val="00DF58FD"/>
    <w:rsid w:val="00DF61E1"/>
    <w:rsid w:val="00DF6793"/>
    <w:rsid w:val="00DF685A"/>
    <w:rsid w:val="00DF689D"/>
    <w:rsid w:val="00DF6EEF"/>
    <w:rsid w:val="00DF7146"/>
    <w:rsid w:val="00DF74A1"/>
    <w:rsid w:val="00DF7E16"/>
    <w:rsid w:val="00E000C9"/>
    <w:rsid w:val="00E00ADD"/>
    <w:rsid w:val="00E00B51"/>
    <w:rsid w:val="00E00E90"/>
    <w:rsid w:val="00E00FFB"/>
    <w:rsid w:val="00E010EF"/>
    <w:rsid w:val="00E0181D"/>
    <w:rsid w:val="00E01E43"/>
    <w:rsid w:val="00E020DF"/>
    <w:rsid w:val="00E02C39"/>
    <w:rsid w:val="00E02E64"/>
    <w:rsid w:val="00E04102"/>
    <w:rsid w:val="00E0418C"/>
    <w:rsid w:val="00E049A2"/>
    <w:rsid w:val="00E04E0E"/>
    <w:rsid w:val="00E04E9D"/>
    <w:rsid w:val="00E04ECC"/>
    <w:rsid w:val="00E04EEA"/>
    <w:rsid w:val="00E05582"/>
    <w:rsid w:val="00E05E9D"/>
    <w:rsid w:val="00E060BD"/>
    <w:rsid w:val="00E06253"/>
    <w:rsid w:val="00E06912"/>
    <w:rsid w:val="00E07500"/>
    <w:rsid w:val="00E10054"/>
    <w:rsid w:val="00E102C1"/>
    <w:rsid w:val="00E103D9"/>
    <w:rsid w:val="00E10791"/>
    <w:rsid w:val="00E11306"/>
    <w:rsid w:val="00E11433"/>
    <w:rsid w:val="00E121B2"/>
    <w:rsid w:val="00E12427"/>
    <w:rsid w:val="00E125B3"/>
    <w:rsid w:val="00E125E2"/>
    <w:rsid w:val="00E12697"/>
    <w:rsid w:val="00E1288F"/>
    <w:rsid w:val="00E12A97"/>
    <w:rsid w:val="00E132D4"/>
    <w:rsid w:val="00E13583"/>
    <w:rsid w:val="00E13DF2"/>
    <w:rsid w:val="00E13E61"/>
    <w:rsid w:val="00E13FEE"/>
    <w:rsid w:val="00E14918"/>
    <w:rsid w:val="00E151A2"/>
    <w:rsid w:val="00E15982"/>
    <w:rsid w:val="00E15B4D"/>
    <w:rsid w:val="00E15EAF"/>
    <w:rsid w:val="00E16177"/>
    <w:rsid w:val="00E166ED"/>
    <w:rsid w:val="00E16807"/>
    <w:rsid w:val="00E16A79"/>
    <w:rsid w:val="00E16D02"/>
    <w:rsid w:val="00E16F9D"/>
    <w:rsid w:val="00E170E0"/>
    <w:rsid w:val="00E17818"/>
    <w:rsid w:val="00E179E6"/>
    <w:rsid w:val="00E17F34"/>
    <w:rsid w:val="00E2007C"/>
    <w:rsid w:val="00E203E9"/>
    <w:rsid w:val="00E208E5"/>
    <w:rsid w:val="00E212B2"/>
    <w:rsid w:val="00E2142F"/>
    <w:rsid w:val="00E21B11"/>
    <w:rsid w:val="00E22639"/>
    <w:rsid w:val="00E24743"/>
    <w:rsid w:val="00E24CFE"/>
    <w:rsid w:val="00E24DDA"/>
    <w:rsid w:val="00E25391"/>
    <w:rsid w:val="00E2628A"/>
    <w:rsid w:val="00E2636F"/>
    <w:rsid w:val="00E273BA"/>
    <w:rsid w:val="00E278D7"/>
    <w:rsid w:val="00E309C1"/>
    <w:rsid w:val="00E30FDE"/>
    <w:rsid w:val="00E313E0"/>
    <w:rsid w:val="00E31627"/>
    <w:rsid w:val="00E31899"/>
    <w:rsid w:val="00E31E83"/>
    <w:rsid w:val="00E322C0"/>
    <w:rsid w:val="00E323BD"/>
    <w:rsid w:val="00E32722"/>
    <w:rsid w:val="00E32A5D"/>
    <w:rsid w:val="00E32C81"/>
    <w:rsid w:val="00E32D3C"/>
    <w:rsid w:val="00E32D73"/>
    <w:rsid w:val="00E33221"/>
    <w:rsid w:val="00E3333D"/>
    <w:rsid w:val="00E334CE"/>
    <w:rsid w:val="00E34315"/>
    <w:rsid w:val="00E347B8"/>
    <w:rsid w:val="00E34AC0"/>
    <w:rsid w:val="00E35199"/>
    <w:rsid w:val="00E35BD7"/>
    <w:rsid w:val="00E3648A"/>
    <w:rsid w:val="00E3676C"/>
    <w:rsid w:val="00E36860"/>
    <w:rsid w:val="00E37C22"/>
    <w:rsid w:val="00E37F66"/>
    <w:rsid w:val="00E40082"/>
    <w:rsid w:val="00E40E0F"/>
    <w:rsid w:val="00E40F45"/>
    <w:rsid w:val="00E41415"/>
    <w:rsid w:val="00E41AB5"/>
    <w:rsid w:val="00E41F75"/>
    <w:rsid w:val="00E421CB"/>
    <w:rsid w:val="00E42814"/>
    <w:rsid w:val="00E428D7"/>
    <w:rsid w:val="00E43086"/>
    <w:rsid w:val="00E433B4"/>
    <w:rsid w:val="00E43C5C"/>
    <w:rsid w:val="00E43CCC"/>
    <w:rsid w:val="00E43CF3"/>
    <w:rsid w:val="00E43E81"/>
    <w:rsid w:val="00E43F5E"/>
    <w:rsid w:val="00E44DDD"/>
    <w:rsid w:val="00E44E59"/>
    <w:rsid w:val="00E465E4"/>
    <w:rsid w:val="00E46674"/>
    <w:rsid w:val="00E467C1"/>
    <w:rsid w:val="00E46840"/>
    <w:rsid w:val="00E46E92"/>
    <w:rsid w:val="00E4711F"/>
    <w:rsid w:val="00E471C0"/>
    <w:rsid w:val="00E473FF"/>
    <w:rsid w:val="00E47EF8"/>
    <w:rsid w:val="00E5003C"/>
    <w:rsid w:val="00E50438"/>
    <w:rsid w:val="00E507A1"/>
    <w:rsid w:val="00E50831"/>
    <w:rsid w:val="00E50CD8"/>
    <w:rsid w:val="00E518F3"/>
    <w:rsid w:val="00E526F4"/>
    <w:rsid w:val="00E52BF2"/>
    <w:rsid w:val="00E52D27"/>
    <w:rsid w:val="00E53271"/>
    <w:rsid w:val="00E5345D"/>
    <w:rsid w:val="00E535E1"/>
    <w:rsid w:val="00E53BEF"/>
    <w:rsid w:val="00E53E56"/>
    <w:rsid w:val="00E542C6"/>
    <w:rsid w:val="00E54555"/>
    <w:rsid w:val="00E54AE6"/>
    <w:rsid w:val="00E54F37"/>
    <w:rsid w:val="00E54F39"/>
    <w:rsid w:val="00E54FAE"/>
    <w:rsid w:val="00E55522"/>
    <w:rsid w:val="00E5555C"/>
    <w:rsid w:val="00E5570E"/>
    <w:rsid w:val="00E566B2"/>
    <w:rsid w:val="00E56DEC"/>
    <w:rsid w:val="00E57579"/>
    <w:rsid w:val="00E57A1F"/>
    <w:rsid w:val="00E57E2F"/>
    <w:rsid w:val="00E602D8"/>
    <w:rsid w:val="00E6033F"/>
    <w:rsid w:val="00E60385"/>
    <w:rsid w:val="00E60434"/>
    <w:rsid w:val="00E60668"/>
    <w:rsid w:val="00E60C30"/>
    <w:rsid w:val="00E610C7"/>
    <w:rsid w:val="00E61197"/>
    <w:rsid w:val="00E6127C"/>
    <w:rsid w:val="00E614A1"/>
    <w:rsid w:val="00E61F0D"/>
    <w:rsid w:val="00E6207B"/>
    <w:rsid w:val="00E620F0"/>
    <w:rsid w:val="00E62126"/>
    <w:rsid w:val="00E622AC"/>
    <w:rsid w:val="00E625D6"/>
    <w:rsid w:val="00E62D99"/>
    <w:rsid w:val="00E636D5"/>
    <w:rsid w:val="00E63B89"/>
    <w:rsid w:val="00E6449E"/>
    <w:rsid w:val="00E64BF5"/>
    <w:rsid w:val="00E652DC"/>
    <w:rsid w:val="00E654D2"/>
    <w:rsid w:val="00E65521"/>
    <w:rsid w:val="00E65B67"/>
    <w:rsid w:val="00E65B84"/>
    <w:rsid w:val="00E65F8E"/>
    <w:rsid w:val="00E663FE"/>
    <w:rsid w:val="00E6643F"/>
    <w:rsid w:val="00E66DDC"/>
    <w:rsid w:val="00E66F9A"/>
    <w:rsid w:val="00E66FA6"/>
    <w:rsid w:val="00E6700F"/>
    <w:rsid w:val="00E6702D"/>
    <w:rsid w:val="00E67201"/>
    <w:rsid w:val="00E701B9"/>
    <w:rsid w:val="00E70769"/>
    <w:rsid w:val="00E70A0D"/>
    <w:rsid w:val="00E71169"/>
    <w:rsid w:val="00E71A42"/>
    <w:rsid w:val="00E71C09"/>
    <w:rsid w:val="00E72476"/>
    <w:rsid w:val="00E7293D"/>
    <w:rsid w:val="00E72BAA"/>
    <w:rsid w:val="00E72E75"/>
    <w:rsid w:val="00E72E8E"/>
    <w:rsid w:val="00E72F31"/>
    <w:rsid w:val="00E73433"/>
    <w:rsid w:val="00E737CB"/>
    <w:rsid w:val="00E73A69"/>
    <w:rsid w:val="00E74182"/>
    <w:rsid w:val="00E744F4"/>
    <w:rsid w:val="00E74792"/>
    <w:rsid w:val="00E74ECB"/>
    <w:rsid w:val="00E754B6"/>
    <w:rsid w:val="00E75745"/>
    <w:rsid w:val="00E76300"/>
    <w:rsid w:val="00E764D5"/>
    <w:rsid w:val="00E7656A"/>
    <w:rsid w:val="00E76622"/>
    <w:rsid w:val="00E76FB4"/>
    <w:rsid w:val="00E77E39"/>
    <w:rsid w:val="00E801BB"/>
    <w:rsid w:val="00E81097"/>
    <w:rsid w:val="00E81278"/>
    <w:rsid w:val="00E81379"/>
    <w:rsid w:val="00E816D8"/>
    <w:rsid w:val="00E81773"/>
    <w:rsid w:val="00E8178B"/>
    <w:rsid w:val="00E81A59"/>
    <w:rsid w:val="00E81C59"/>
    <w:rsid w:val="00E81E74"/>
    <w:rsid w:val="00E82172"/>
    <w:rsid w:val="00E8219E"/>
    <w:rsid w:val="00E82C03"/>
    <w:rsid w:val="00E832F5"/>
    <w:rsid w:val="00E83B74"/>
    <w:rsid w:val="00E83EAF"/>
    <w:rsid w:val="00E83EE0"/>
    <w:rsid w:val="00E84017"/>
    <w:rsid w:val="00E85454"/>
    <w:rsid w:val="00E85535"/>
    <w:rsid w:val="00E85898"/>
    <w:rsid w:val="00E85C87"/>
    <w:rsid w:val="00E85D13"/>
    <w:rsid w:val="00E85E2D"/>
    <w:rsid w:val="00E8691B"/>
    <w:rsid w:val="00E86C8D"/>
    <w:rsid w:val="00E86E0D"/>
    <w:rsid w:val="00E87622"/>
    <w:rsid w:val="00E877AF"/>
    <w:rsid w:val="00E9073C"/>
    <w:rsid w:val="00E90771"/>
    <w:rsid w:val="00E90876"/>
    <w:rsid w:val="00E90CD0"/>
    <w:rsid w:val="00E91076"/>
    <w:rsid w:val="00E91104"/>
    <w:rsid w:val="00E918CE"/>
    <w:rsid w:val="00E924EE"/>
    <w:rsid w:val="00E9251D"/>
    <w:rsid w:val="00E93150"/>
    <w:rsid w:val="00E938D2"/>
    <w:rsid w:val="00E943AD"/>
    <w:rsid w:val="00E943C6"/>
    <w:rsid w:val="00E94640"/>
    <w:rsid w:val="00E947E2"/>
    <w:rsid w:val="00E954E5"/>
    <w:rsid w:val="00E9555D"/>
    <w:rsid w:val="00E95791"/>
    <w:rsid w:val="00E95825"/>
    <w:rsid w:val="00E95C4F"/>
    <w:rsid w:val="00E969A9"/>
    <w:rsid w:val="00EA0B4F"/>
    <w:rsid w:val="00EA108B"/>
    <w:rsid w:val="00EA2766"/>
    <w:rsid w:val="00EA2795"/>
    <w:rsid w:val="00EA2B03"/>
    <w:rsid w:val="00EA2DFA"/>
    <w:rsid w:val="00EA3387"/>
    <w:rsid w:val="00EA34F1"/>
    <w:rsid w:val="00EA3B36"/>
    <w:rsid w:val="00EA3FB4"/>
    <w:rsid w:val="00EA3FBD"/>
    <w:rsid w:val="00EA41B3"/>
    <w:rsid w:val="00EA4764"/>
    <w:rsid w:val="00EA4F76"/>
    <w:rsid w:val="00EA56C3"/>
    <w:rsid w:val="00EA5C63"/>
    <w:rsid w:val="00EA5FFE"/>
    <w:rsid w:val="00EA60A3"/>
    <w:rsid w:val="00EA673E"/>
    <w:rsid w:val="00EA6E7D"/>
    <w:rsid w:val="00EA704F"/>
    <w:rsid w:val="00EA75F9"/>
    <w:rsid w:val="00EA766C"/>
    <w:rsid w:val="00EA792C"/>
    <w:rsid w:val="00EA7C46"/>
    <w:rsid w:val="00EA7E80"/>
    <w:rsid w:val="00EB0073"/>
    <w:rsid w:val="00EB0A12"/>
    <w:rsid w:val="00EB0DAD"/>
    <w:rsid w:val="00EB11EC"/>
    <w:rsid w:val="00EB18A2"/>
    <w:rsid w:val="00EB1EC6"/>
    <w:rsid w:val="00EB221A"/>
    <w:rsid w:val="00EB23BE"/>
    <w:rsid w:val="00EB25ED"/>
    <w:rsid w:val="00EB2C81"/>
    <w:rsid w:val="00EB37C0"/>
    <w:rsid w:val="00EB3F26"/>
    <w:rsid w:val="00EB5203"/>
    <w:rsid w:val="00EB5641"/>
    <w:rsid w:val="00EB5ACA"/>
    <w:rsid w:val="00EB611C"/>
    <w:rsid w:val="00EB64DC"/>
    <w:rsid w:val="00EB6B7C"/>
    <w:rsid w:val="00EB6F0F"/>
    <w:rsid w:val="00EB7072"/>
    <w:rsid w:val="00EB73B1"/>
    <w:rsid w:val="00EB78CD"/>
    <w:rsid w:val="00EB7CB6"/>
    <w:rsid w:val="00EB7F7F"/>
    <w:rsid w:val="00EB7FBF"/>
    <w:rsid w:val="00EC044A"/>
    <w:rsid w:val="00EC140F"/>
    <w:rsid w:val="00EC1DF2"/>
    <w:rsid w:val="00EC1E51"/>
    <w:rsid w:val="00EC250B"/>
    <w:rsid w:val="00EC2A9A"/>
    <w:rsid w:val="00EC2BFB"/>
    <w:rsid w:val="00EC2D8F"/>
    <w:rsid w:val="00EC2F4C"/>
    <w:rsid w:val="00EC3816"/>
    <w:rsid w:val="00EC3EDB"/>
    <w:rsid w:val="00EC435A"/>
    <w:rsid w:val="00EC4828"/>
    <w:rsid w:val="00EC48E0"/>
    <w:rsid w:val="00EC5071"/>
    <w:rsid w:val="00EC51BD"/>
    <w:rsid w:val="00EC5A66"/>
    <w:rsid w:val="00EC61B5"/>
    <w:rsid w:val="00EC65DF"/>
    <w:rsid w:val="00EC6764"/>
    <w:rsid w:val="00EC6862"/>
    <w:rsid w:val="00EC6B54"/>
    <w:rsid w:val="00EC6C85"/>
    <w:rsid w:val="00EC6FE6"/>
    <w:rsid w:val="00EC71DB"/>
    <w:rsid w:val="00EC764A"/>
    <w:rsid w:val="00EC7BA5"/>
    <w:rsid w:val="00ED0747"/>
    <w:rsid w:val="00ED0823"/>
    <w:rsid w:val="00ED0A38"/>
    <w:rsid w:val="00ED0CF8"/>
    <w:rsid w:val="00ED1031"/>
    <w:rsid w:val="00ED1292"/>
    <w:rsid w:val="00ED1522"/>
    <w:rsid w:val="00ED1B7A"/>
    <w:rsid w:val="00ED28C6"/>
    <w:rsid w:val="00ED2B0C"/>
    <w:rsid w:val="00ED2BEA"/>
    <w:rsid w:val="00ED2CD9"/>
    <w:rsid w:val="00ED345D"/>
    <w:rsid w:val="00ED3FB3"/>
    <w:rsid w:val="00ED41DB"/>
    <w:rsid w:val="00ED46DF"/>
    <w:rsid w:val="00ED4A07"/>
    <w:rsid w:val="00ED5302"/>
    <w:rsid w:val="00ED538B"/>
    <w:rsid w:val="00ED6307"/>
    <w:rsid w:val="00ED6929"/>
    <w:rsid w:val="00ED6CF6"/>
    <w:rsid w:val="00ED6D78"/>
    <w:rsid w:val="00ED6EAA"/>
    <w:rsid w:val="00ED7457"/>
    <w:rsid w:val="00ED74AA"/>
    <w:rsid w:val="00ED77B9"/>
    <w:rsid w:val="00ED7BD4"/>
    <w:rsid w:val="00ED7CBA"/>
    <w:rsid w:val="00ED7D09"/>
    <w:rsid w:val="00EE03E7"/>
    <w:rsid w:val="00EE051E"/>
    <w:rsid w:val="00EE0851"/>
    <w:rsid w:val="00EE16B6"/>
    <w:rsid w:val="00EE1B85"/>
    <w:rsid w:val="00EE1D3E"/>
    <w:rsid w:val="00EE1D65"/>
    <w:rsid w:val="00EE1FFE"/>
    <w:rsid w:val="00EE275D"/>
    <w:rsid w:val="00EE3095"/>
    <w:rsid w:val="00EE38FE"/>
    <w:rsid w:val="00EE3922"/>
    <w:rsid w:val="00EE3E92"/>
    <w:rsid w:val="00EE3EA6"/>
    <w:rsid w:val="00EE3EBB"/>
    <w:rsid w:val="00EE4B5A"/>
    <w:rsid w:val="00EE58C1"/>
    <w:rsid w:val="00EE5B75"/>
    <w:rsid w:val="00EE604D"/>
    <w:rsid w:val="00EE77C4"/>
    <w:rsid w:val="00EE7B7C"/>
    <w:rsid w:val="00EE7F54"/>
    <w:rsid w:val="00EF0292"/>
    <w:rsid w:val="00EF0568"/>
    <w:rsid w:val="00EF084C"/>
    <w:rsid w:val="00EF0E39"/>
    <w:rsid w:val="00EF0EC0"/>
    <w:rsid w:val="00EF1454"/>
    <w:rsid w:val="00EF1473"/>
    <w:rsid w:val="00EF14A8"/>
    <w:rsid w:val="00EF1DF2"/>
    <w:rsid w:val="00EF1F47"/>
    <w:rsid w:val="00EF2A3D"/>
    <w:rsid w:val="00EF2CB4"/>
    <w:rsid w:val="00EF3914"/>
    <w:rsid w:val="00EF4107"/>
    <w:rsid w:val="00EF4317"/>
    <w:rsid w:val="00EF44B2"/>
    <w:rsid w:val="00EF4B7D"/>
    <w:rsid w:val="00EF509F"/>
    <w:rsid w:val="00EF51F0"/>
    <w:rsid w:val="00EF5438"/>
    <w:rsid w:val="00EF5559"/>
    <w:rsid w:val="00EF59DB"/>
    <w:rsid w:val="00EF5F94"/>
    <w:rsid w:val="00EF6137"/>
    <w:rsid w:val="00EF6486"/>
    <w:rsid w:val="00EF69A1"/>
    <w:rsid w:val="00EF6B6A"/>
    <w:rsid w:val="00EF72D9"/>
    <w:rsid w:val="00EF7CB4"/>
    <w:rsid w:val="00F0036A"/>
    <w:rsid w:val="00F007CD"/>
    <w:rsid w:val="00F00824"/>
    <w:rsid w:val="00F009DD"/>
    <w:rsid w:val="00F00B6C"/>
    <w:rsid w:val="00F00BE0"/>
    <w:rsid w:val="00F00DF1"/>
    <w:rsid w:val="00F00ED9"/>
    <w:rsid w:val="00F00EEA"/>
    <w:rsid w:val="00F013D3"/>
    <w:rsid w:val="00F015C9"/>
    <w:rsid w:val="00F016C9"/>
    <w:rsid w:val="00F018DA"/>
    <w:rsid w:val="00F01A0A"/>
    <w:rsid w:val="00F01A43"/>
    <w:rsid w:val="00F01AA2"/>
    <w:rsid w:val="00F01B74"/>
    <w:rsid w:val="00F01C80"/>
    <w:rsid w:val="00F02150"/>
    <w:rsid w:val="00F023FA"/>
    <w:rsid w:val="00F029F5"/>
    <w:rsid w:val="00F02F3C"/>
    <w:rsid w:val="00F034FB"/>
    <w:rsid w:val="00F03556"/>
    <w:rsid w:val="00F03572"/>
    <w:rsid w:val="00F0377E"/>
    <w:rsid w:val="00F03C77"/>
    <w:rsid w:val="00F041D7"/>
    <w:rsid w:val="00F04E41"/>
    <w:rsid w:val="00F05367"/>
    <w:rsid w:val="00F05765"/>
    <w:rsid w:val="00F06206"/>
    <w:rsid w:val="00F0694B"/>
    <w:rsid w:val="00F06A1E"/>
    <w:rsid w:val="00F07199"/>
    <w:rsid w:val="00F105BC"/>
    <w:rsid w:val="00F1096D"/>
    <w:rsid w:val="00F10DDE"/>
    <w:rsid w:val="00F112EC"/>
    <w:rsid w:val="00F11382"/>
    <w:rsid w:val="00F113C9"/>
    <w:rsid w:val="00F116A0"/>
    <w:rsid w:val="00F11CF4"/>
    <w:rsid w:val="00F11D67"/>
    <w:rsid w:val="00F11EE1"/>
    <w:rsid w:val="00F121AC"/>
    <w:rsid w:val="00F1303A"/>
    <w:rsid w:val="00F1443F"/>
    <w:rsid w:val="00F148F2"/>
    <w:rsid w:val="00F14B6F"/>
    <w:rsid w:val="00F14BEB"/>
    <w:rsid w:val="00F163F3"/>
    <w:rsid w:val="00F165CC"/>
    <w:rsid w:val="00F16EFD"/>
    <w:rsid w:val="00F17289"/>
    <w:rsid w:val="00F172DC"/>
    <w:rsid w:val="00F17333"/>
    <w:rsid w:val="00F207DA"/>
    <w:rsid w:val="00F20C7F"/>
    <w:rsid w:val="00F2166F"/>
    <w:rsid w:val="00F219C1"/>
    <w:rsid w:val="00F21BE8"/>
    <w:rsid w:val="00F21CEC"/>
    <w:rsid w:val="00F22DFC"/>
    <w:rsid w:val="00F22FC8"/>
    <w:rsid w:val="00F2301D"/>
    <w:rsid w:val="00F2317C"/>
    <w:rsid w:val="00F233D0"/>
    <w:rsid w:val="00F23A5C"/>
    <w:rsid w:val="00F23BED"/>
    <w:rsid w:val="00F241AB"/>
    <w:rsid w:val="00F241D1"/>
    <w:rsid w:val="00F2444B"/>
    <w:rsid w:val="00F2474D"/>
    <w:rsid w:val="00F248E3"/>
    <w:rsid w:val="00F24BD9"/>
    <w:rsid w:val="00F24D4F"/>
    <w:rsid w:val="00F24FE5"/>
    <w:rsid w:val="00F252AC"/>
    <w:rsid w:val="00F26882"/>
    <w:rsid w:val="00F271A3"/>
    <w:rsid w:val="00F27F3B"/>
    <w:rsid w:val="00F30048"/>
    <w:rsid w:val="00F30D3D"/>
    <w:rsid w:val="00F30E07"/>
    <w:rsid w:val="00F31422"/>
    <w:rsid w:val="00F32B09"/>
    <w:rsid w:val="00F32DB3"/>
    <w:rsid w:val="00F331C8"/>
    <w:rsid w:val="00F336B2"/>
    <w:rsid w:val="00F3378C"/>
    <w:rsid w:val="00F33DDC"/>
    <w:rsid w:val="00F35123"/>
    <w:rsid w:val="00F35A09"/>
    <w:rsid w:val="00F35DDA"/>
    <w:rsid w:val="00F36A8D"/>
    <w:rsid w:val="00F36CF7"/>
    <w:rsid w:val="00F36F52"/>
    <w:rsid w:val="00F37323"/>
    <w:rsid w:val="00F37B78"/>
    <w:rsid w:val="00F37E88"/>
    <w:rsid w:val="00F40789"/>
    <w:rsid w:val="00F4087A"/>
    <w:rsid w:val="00F40EE3"/>
    <w:rsid w:val="00F413B9"/>
    <w:rsid w:val="00F415E7"/>
    <w:rsid w:val="00F41B6F"/>
    <w:rsid w:val="00F41D26"/>
    <w:rsid w:val="00F420BD"/>
    <w:rsid w:val="00F422F9"/>
    <w:rsid w:val="00F42699"/>
    <w:rsid w:val="00F42807"/>
    <w:rsid w:val="00F42D15"/>
    <w:rsid w:val="00F42DF2"/>
    <w:rsid w:val="00F4304C"/>
    <w:rsid w:val="00F43D79"/>
    <w:rsid w:val="00F443E3"/>
    <w:rsid w:val="00F44787"/>
    <w:rsid w:val="00F44C79"/>
    <w:rsid w:val="00F45D1D"/>
    <w:rsid w:val="00F46340"/>
    <w:rsid w:val="00F464A6"/>
    <w:rsid w:val="00F46D7A"/>
    <w:rsid w:val="00F46E0E"/>
    <w:rsid w:val="00F46F2F"/>
    <w:rsid w:val="00F47A77"/>
    <w:rsid w:val="00F50455"/>
    <w:rsid w:val="00F518E9"/>
    <w:rsid w:val="00F51B7F"/>
    <w:rsid w:val="00F51F40"/>
    <w:rsid w:val="00F52183"/>
    <w:rsid w:val="00F52901"/>
    <w:rsid w:val="00F52918"/>
    <w:rsid w:val="00F52D59"/>
    <w:rsid w:val="00F53038"/>
    <w:rsid w:val="00F539C2"/>
    <w:rsid w:val="00F53B08"/>
    <w:rsid w:val="00F53DD2"/>
    <w:rsid w:val="00F53EBD"/>
    <w:rsid w:val="00F53F5E"/>
    <w:rsid w:val="00F54416"/>
    <w:rsid w:val="00F54A51"/>
    <w:rsid w:val="00F550A4"/>
    <w:rsid w:val="00F5516A"/>
    <w:rsid w:val="00F55AD2"/>
    <w:rsid w:val="00F5620B"/>
    <w:rsid w:val="00F56657"/>
    <w:rsid w:val="00F56B4E"/>
    <w:rsid w:val="00F56DCD"/>
    <w:rsid w:val="00F570E3"/>
    <w:rsid w:val="00F57EBC"/>
    <w:rsid w:val="00F60253"/>
    <w:rsid w:val="00F6026B"/>
    <w:rsid w:val="00F60A9E"/>
    <w:rsid w:val="00F61234"/>
    <w:rsid w:val="00F61302"/>
    <w:rsid w:val="00F615DA"/>
    <w:rsid w:val="00F61B95"/>
    <w:rsid w:val="00F61E09"/>
    <w:rsid w:val="00F61FE5"/>
    <w:rsid w:val="00F626C9"/>
    <w:rsid w:val="00F62D27"/>
    <w:rsid w:val="00F63520"/>
    <w:rsid w:val="00F63DC0"/>
    <w:rsid w:val="00F64023"/>
    <w:rsid w:val="00F642AF"/>
    <w:rsid w:val="00F6450A"/>
    <w:rsid w:val="00F64689"/>
    <w:rsid w:val="00F64D21"/>
    <w:rsid w:val="00F653D3"/>
    <w:rsid w:val="00F65B85"/>
    <w:rsid w:val="00F65F83"/>
    <w:rsid w:val="00F661D9"/>
    <w:rsid w:val="00F664D0"/>
    <w:rsid w:val="00F66876"/>
    <w:rsid w:val="00F66C33"/>
    <w:rsid w:val="00F675E6"/>
    <w:rsid w:val="00F67AEF"/>
    <w:rsid w:val="00F705A2"/>
    <w:rsid w:val="00F70BB4"/>
    <w:rsid w:val="00F70E6A"/>
    <w:rsid w:val="00F71965"/>
    <w:rsid w:val="00F71EEF"/>
    <w:rsid w:val="00F71F02"/>
    <w:rsid w:val="00F71F27"/>
    <w:rsid w:val="00F72B0B"/>
    <w:rsid w:val="00F72B87"/>
    <w:rsid w:val="00F73869"/>
    <w:rsid w:val="00F73B98"/>
    <w:rsid w:val="00F74450"/>
    <w:rsid w:val="00F745D4"/>
    <w:rsid w:val="00F746FE"/>
    <w:rsid w:val="00F74EDC"/>
    <w:rsid w:val="00F752B0"/>
    <w:rsid w:val="00F75F78"/>
    <w:rsid w:val="00F75FF8"/>
    <w:rsid w:val="00F76109"/>
    <w:rsid w:val="00F76917"/>
    <w:rsid w:val="00F769C6"/>
    <w:rsid w:val="00F76DA4"/>
    <w:rsid w:val="00F775B0"/>
    <w:rsid w:val="00F77CB8"/>
    <w:rsid w:val="00F80146"/>
    <w:rsid w:val="00F80319"/>
    <w:rsid w:val="00F803FA"/>
    <w:rsid w:val="00F80427"/>
    <w:rsid w:val="00F80707"/>
    <w:rsid w:val="00F80914"/>
    <w:rsid w:val="00F81156"/>
    <w:rsid w:val="00F81208"/>
    <w:rsid w:val="00F818B2"/>
    <w:rsid w:val="00F81CD5"/>
    <w:rsid w:val="00F8235C"/>
    <w:rsid w:val="00F82A0C"/>
    <w:rsid w:val="00F82D55"/>
    <w:rsid w:val="00F84658"/>
    <w:rsid w:val="00F8467B"/>
    <w:rsid w:val="00F84A38"/>
    <w:rsid w:val="00F85629"/>
    <w:rsid w:val="00F85CFA"/>
    <w:rsid w:val="00F85EE2"/>
    <w:rsid w:val="00F8754E"/>
    <w:rsid w:val="00F8760F"/>
    <w:rsid w:val="00F876E2"/>
    <w:rsid w:val="00F87911"/>
    <w:rsid w:val="00F87A63"/>
    <w:rsid w:val="00F87D8A"/>
    <w:rsid w:val="00F90074"/>
    <w:rsid w:val="00F904CC"/>
    <w:rsid w:val="00F907A7"/>
    <w:rsid w:val="00F90A47"/>
    <w:rsid w:val="00F90F28"/>
    <w:rsid w:val="00F9125F"/>
    <w:rsid w:val="00F9137A"/>
    <w:rsid w:val="00F91465"/>
    <w:rsid w:val="00F91EAD"/>
    <w:rsid w:val="00F93350"/>
    <w:rsid w:val="00F9361B"/>
    <w:rsid w:val="00F93772"/>
    <w:rsid w:val="00F93891"/>
    <w:rsid w:val="00F93B0A"/>
    <w:rsid w:val="00F94FCF"/>
    <w:rsid w:val="00F95185"/>
    <w:rsid w:val="00F95D5E"/>
    <w:rsid w:val="00F95F49"/>
    <w:rsid w:val="00F96336"/>
    <w:rsid w:val="00F96575"/>
    <w:rsid w:val="00F96C81"/>
    <w:rsid w:val="00F970CE"/>
    <w:rsid w:val="00F9710B"/>
    <w:rsid w:val="00F97CD7"/>
    <w:rsid w:val="00F97D3A"/>
    <w:rsid w:val="00FA0385"/>
    <w:rsid w:val="00FA046C"/>
    <w:rsid w:val="00FA0571"/>
    <w:rsid w:val="00FA17B8"/>
    <w:rsid w:val="00FA1884"/>
    <w:rsid w:val="00FA1E95"/>
    <w:rsid w:val="00FA1FF9"/>
    <w:rsid w:val="00FA3193"/>
    <w:rsid w:val="00FA3D33"/>
    <w:rsid w:val="00FA3E32"/>
    <w:rsid w:val="00FA443C"/>
    <w:rsid w:val="00FA4686"/>
    <w:rsid w:val="00FA495B"/>
    <w:rsid w:val="00FA496E"/>
    <w:rsid w:val="00FA4E10"/>
    <w:rsid w:val="00FA58A9"/>
    <w:rsid w:val="00FA5A17"/>
    <w:rsid w:val="00FA5AAC"/>
    <w:rsid w:val="00FA5C2B"/>
    <w:rsid w:val="00FA61C8"/>
    <w:rsid w:val="00FA6793"/>
    <w:rsid w:val="00FA6AB0"/>
    <w:rsid w:val="00FA6DCD"/>
    <w:rsid w:val="00FA7167"/>
    <w:rsid w:val="00FA7358"/>
    <w:rsid w:val="00FA73E0"/>
    <w:rsid w:val="00FA7D0F"/>
    <w:rsid w:val="00FB00FF"/>
    <w:rsid w:val="00FB012F"/>
    <w:rsid w:val="00FB1280"/>
    <w:rsid w:val="00FB1307"/>
    <w:rsid w:val="00FB13AA"/>
    <w:rsid w:val="00FB1A1A"/>
    <w:rsid w:val="00FB24CD"/>
    <w:rsid w:val="00FB2A2F"/>
    <w:rsid w:val="00FB2B7B"/>
    <w:rsid w:val="00FB2DC7"/>
    <w:rsid w:val="00FB311F"/>
    <w:rsid w:val="00FB31F4"/>
    <w:rsid w:val="00FB4804"/>
    <w:rsid w:val="00FB48A9"/>
    <w:rsid w:val="00FB49CF"/>
    <w:rsid w:val="00FB4EFC"/>
    <w:rsid w:val="00FB4F27"/>
    <w:rsid w:val="00FB5027"/>
    <w:rsid w:val="00FB5429"/>
    <w:rsid w:val="00FB588C"/>
    <w:rsid w:val="00FB5A87"/>
    <w:rsid w:val="00FB5D09"/>
    <w:rsid w:val="00FB6912"/>
    <w:rsid w:val="00FB73EC"/>
    <w:rsid w:val="00FB7684"/>
    <w:rsid w:val="00FB7818"/>
    <w:rsid w:val="00FC082B"/>
    <w:rsid w:val="00FC104A"/>
    <w:rsid w:val="00FC1CAA"/>
    <w:rsid w:val="00FC2192"/>
    <w:rsid w:val="00FC2C19"/>
    <w:rsid w:val="00FC2FC0"/>
    <w:rsid w:val="00FC3813"/>
    <w:rsid w:val="00FC3AC8"/>
    <w:rsid w:val="00FC4362"/>
    <w:rsid w:val="00FC43C0"/>
    <w:rsid w:val="00FC44B5"/>
    <w:rsid w:val="00FC4522"/>
    <w:rsid w:val="00FC4571"/>
    <w:rsid w:val="00FC51BE"/>
    <w:rsid w:val="00FC52CB"/>
    <w:rsid w:val="00FC56C8"/>
    <w:rsid w:val="00FC58AD"/>
    <w:rsid w:val="00FC59E7"/>
    <w:rsid w:val="00FC5F04"/>
    <w:rsid w:val="00FC623B"/>
    <w:rsid w:val="00FC6B32"/>
    <w:rsid w:val="00FC6CC0"/>
    <w:rsid w:val="00FC6E65"/>
    <w:rsid w:val="00FC71D9"/>
    <w:rsid w:val="00FC71E1"/>
    <w:rsid w:val="00FC77FC"/>
    <w:rsid w:val="00FC798D"/>
    <w:rsid w:val="00FC7B2A"/>
    <w:rsid w:val="00FC7D0C"/>
    <w:rsid w:val="00FD00EA"/>
    <w:rsid w:val="00FD0170"/>
    <w:rsid w:val="00FD0420"/>
    <w:rsid w:val="00FD0658"/>
    <w:rsid w:val="00FD0E4A"/>
    <w:rsid w:val="00FD11FC"/>
    <w:rsid w:val="00FD16C1"/>
    <w:rsid w:val="00FD2B09"/>
    <w:rsid w:val="00FD2FD8"/>
    <w:rsid w:val="00FD424A"/>
    <w:rsid w:val="00FD4730"/>
    <w:rsid w:val="00FD4A9C"/>
    <w:rsid w:val="00FD5192"/>
    <w:rsid w:val="00FD527F"/>
    <w:rsid w:val="00FD5AEA"/>
    <w:rsid w:val="00FD5C7C"/>
    <w:rsid w:val="00FD5E93"/>
    <w:rsid w:val="00FD5F89"/>
    <w:rsid w:val="00FD6BF4"/>
    <w:rsid w:val="00FD6C18"/>
    <w:rsid w:val="00FD7654"/>
    <w:rsid w:val="00FD77CC"/>
    <w:rsid w:val="00FD7A66"/>
    <w:rsid w:val="00FD7A72"/>
    <w:rsid w:val="00FD7AA4"/>
    <w:rsid w:val="00FD7F9D"/>
    <w:rsid w:val="00FE0028"/>
    <w:rsid w:val="00FE0058"/>
    <w:rsid w:val="00FE0090"/>
    <w:rsid w:val="00FE0328"/>
    <w:rsid w:val="00FE050C"/>
    <w:rsid w:val="00FE1594"/>
    <w:rsid w:val="00FE1743"/>
    <w:rsid w:val="00FE18EA"/>
    <w:rsid w:val="00FE1A22"/>
    <w:rsid w:val="00FE1C5C"/>
    <w:rsid w:val="00FE1D67"/>
    <w:rsid w:val="00FE1EC6"/>
    <w:rsid w:val="00FE2263"/>
    <w:rsid w:val="00FE26A2"/>
    <w:rsid w:val="00FE27FB"/>
    <w:rsid w:val="00FE298D"/>
    <w:rsid w:val="00FE32B8"/>
    <w:rsid w:val="00FE34A1"/>
    <w:rsid w:val="00FE3672"/>
    <w:rsid w:val="00FE367B"/>
    <w:rsid w:val="00FE3ABE"/>
    <w:rsid w:val="00FE3C08"/>
    <w:rsid w:val="00FE3D9A"/>
    <w:rsid w:val="00FE3DAA"/>
    <w:rsid w:val="00FE3E9E"/>
    <w:rsid w:val="00FE3EE3"/>
    <w:rsid w:val="00FE4143"/>
    <w:rsid w:val="00FE43A9"/>
    <w:rsid w:val="00FE480E"/>
    <w:rsid w:val="00FE4A02"/>
    <w:rsid w:val="00FE5648"/>
    <w:rsid w:val="00FE5759"/>
    <w:rsid w:val="00FE57D2"/>
    <w:rsid w:val="00FE593D"/>
    <w:rsid w:val="00FE5EC2"/>
    <w:rsid w:val="00FE6A51"/>
    <w:rsid w:val="00FE6D5E"/>
    <w:rsid w:val="00FE70F1"/>
    <w:rsid w:val="00FE7146"/>
    <w:rsid w:val="00FE7224"/>
    <w:rsid w:val="00FF022A"/>
    <w:rsid w:val="00FF04CF"/>
    <w:rsid w:val="00FF0985"/>
    <w:rsid w:val="00FF0A6C"/>
    <w:rsid w:val="00FF0E48"/>
    <w:rsid w:val="00FF0E65"/>
    <w:rsid w:val="00FF1779"/>
    <w:rsid w:val="00FF1780"/>
    <w:rsid w:val="00FF2152"/>
    <w:rsid w:val="00FF2246"/>
    <w:rsid w:val="00FF228C"/>
    <w:rsid w:val="00FF2402"/>
    <w:rsid w:val="00FF2A68"/>
    <w:rsid w:val="00FF2F1C"/>
    <w:rsid w:val="00FF3672"/>
    <w:rsid w:val="00FF3A93"/>
    <w:rsid w:val="00FF3C00"/>
    <w:rsid w:val="00FF3EDF"/>
    <w:rsid w:val="00FF4402"/>
    <w:rsid w:val="00FF448B"/>
    <w:rsid w:val="00FF4712"/>
    <w:rsid w:val="00FF58FE"/>
    <w:rsid w:val="00FF60C9"/>
    <w:rsid w:val="00FF6239"/>
    <w:rsid w:val="00FF6617"/>
    <w:rsid w:val="00FF6959"/>
    <w:rsid w:val="00FF6AD9"/>
    <w:rsid w:val="00FF6FC8"/>
    <w:rsid w:val="00FF7632"/>
    <w:rsid w:val="00FF79E4"/>
    <w:rsid w:val="01026BC6"/>
    <w:rsid w:val="010ABD3F"/>
    <w:rsid w:val="0113AF38"/>
    <w:rsid w:val="0118991A"/>
    <w:rsid w:val="013A0438"/>
    <w:rsid w:val="0146D08B"/>
    <w:rsid w:val="0186882A"/>
    <w:rsid w:val="020417FC"/>
    <w:rsid w:val="0295C08F"/>
    <w:rsid w:val="029A3866"/>
    <w:rsid w:val="02C435C4"/>
    <w:rsid w:val="033F9189"/>
    <w:rsid w:val="03992AC2"/>
    <w:rsid w:val="03E84E94"/>
    <w:rsid w:val="04341FDF"/>
    <w:rsid w:val="044D64FC"/>
    <w:rsid w:val="04710D82"/>
    <w:rsid w:val="047EBC86"/>
    <w:rsid w:val="04C1B516"/>
    <w:rsid w:val="04CE55C6"/>
    <w:rsid w:val="04E37C2B"/>
    <w:rsid w:val="04FFE8DD"/>
    <w:rsid w:val="051E954D"/>
    <w:rsid w:val="0547BFCE"/>
    <w:rsid w:val="055235C1"/>
    <w:rsid w:val="055D7A67"/>
    <w:rsid w:val="05981E97"/>
    <w:rsid w:val="05A4A662"/>
    <w:rsid w:val="05C1488E"/>
    <w:rsid w:val="05D20380"/>
    <w:rsid w:val="063BA1CD"/>
    <w:rsid w:val="06703B39"/>
    <w:rsid w:val="06D931FF"/>
    <w:rsid w:val="06F376E7"/>
    <w:rsid w:val="071F0E21"/>
    <w:rsid w:val="076DF70F"/>
    <w:rsid w:val="07AB1894"/>
    <w:rsid w:val="07B9864C"/>
    <w:rsid w:val="082326B8"/>
    <w:rsid w:val="0844ADB2"/>
    <w:rsid w:val="084E16B3"/>
    <w:rsid w:val="084EEB94"/>
    <w:rsid w:val="08810882"/>
    <w:rsid w:val="08B437D3"/>
    <w:rsid w:val="08C973E2"/>
    <w:rsid w:val="0936DC13"/>
    <w:rsid w:val="0978B004"/>
    <w:rsid w:val="09FF4FD0"/>
    <w:rsid w:val="0A0EC53A"/>
    <w:rsid w:val="0A2D95D4"/>
    <w:rsid w:val="0A4060F4"/>
    <w:rsid w:val="0A74DBA9"/>
    <w:rsid w:val="0A7AA9AE"/>
    <w:rsid w:val="0A8086DA"/>
    <w:rsid w:val="0AB4A799"/>
    <w:rsid w:val="0AD4F89E"/>
    <w:rsid w:val="0B156589"/>
    <w:rsid w:val="0B34ED35"/>
    <w:rsid w:val="0B731ADD"/>
    <w:rsid w:val="0BA64A2E"/>
    <w:rsid w:val="0BBF1A54"/>
    <w:rsid w:val="0BCC7F64"/>
    <w:rsid w:val="0BCCC85B"/>
    <w:rsid w:val="0BDC5027"/>
    <w:rsid w:val="0BF4E95F"/>
    <w:rsid w:val="0C062436"/>
    <w:rsid w:val="0C62B9A1"/>
    <w:rsid w:val="0C7A2901"/>
    <w:rsid w:val="0CB465BC"/>
    <w:rsid w:val="0D08790C"/>
    <w:rsid w:val="0D606CF0"/>
    <w:rsid w:val="0D75D87F"/>
    <w:rsid w:val="0D9B042B"/>
    <w:rsid w:val="0DBDF4C4"/>
    <w:rsid w:val="0DC51801"/>
    <w:rsid w:val="0DE06A59"/>
    <w:rsid w:val="0DEBB0E3"/>
    <w:rsid w:val="0E001E7B"/>
    <w:rsid w:val="0E6E9A67"/>
    <w:rsid w:val="0EBE91BF"/>
    <w:rsid w:val="0EC75344"/>
    <w:rsid w:val="0ED0B3CC"/>
    <w:rsid w:val="0ED57227"/>
    <w:rsid w:val="0EE745AC"/>
    <w:rsid w:val="0F0A0660"/>
    <w:rsid w:val="0F305306"/>
    <w:rsid w:val="0F40E837"/>
    <w:rsid w:val="0F67A5FD"/>
    <w:rsid w:val="0F838FD1"/>
    <w:rsid w:val="0F91224A"/>
    <w:rsid w:val="0FB6DCA6"/>
    <w:rsid w:val="0FBC63B9"/>
    <w:rsid w:val="0FD902F6"/>
    <w:rsid w:val="10334E53"/>
    <w:rsid w:val="10530ED8"/>
    <w:rsid w:val="10C8F1FA"/>
    <w:rsid w:val="10CB5A72"/>
    <w:rsid w:val="10D08E38"/>
    <w:rsid w:val="10D20D75"/>
    <w:rsid w:val="10E48C85"/>
    <w:rsid w:val="10F1C197"/>
    <w:rsid w:val="1141EDF8"/>
    <w:rsid w:val="11518B90"/>
    <w:rsid w:val="1196CC04"/>
    <w:rsid w:val="11BB8340"/>
    <w:rsid w:val="11ED1624"/>
    <w:rsid w:val="11F56E6E"/>
    <w:rsid w:val="12326804"/>
    <w:rsid w:val="123AA82A"/>
    <w:rsid w:val="12768305"/>
    <w:rsid w:val="127AFA98"/>
    <w:rsid w:val="128B7D07"/>
    <w:rsid w:val="12B2DF5D"/>
    <w:rsid w:val="12D4FCED"/>
    <w:rsid w:val="12EAD2AF"/>
    <w:rsid w:val="130BB9CA"/>
    <w:rsid w:val="134000F2"/>
    <w:rsid w:val="137CD6AD"/>
    <w:rsid w:val="1384CC4A"/>
    <w:rsid w:val="1395E8F6"/>
    <w:rsid w:val="13F982E8"/>
    <w:rsid w:val="14185958"/>
    <w:rsid w:val="143127A6"/>
    <w:rsid w:val="14410D5C"/>
    <w:rsid w:val="1447BF52"/>
    <w:rsid w:val="1448EE42"/>
    <w:rsid w:val="1451AFC7"/>
    <w:rsid w:val="1471A22F"/>
    <w:rsid w:val="1477601C"/>
    <w:rsid w:val="147EE0F7"/>
    <w:rsid w:val="15154EE7"/>
    <w:rsid w:val="15AA43F5"/>
    <w:rsid w:val="15C80A8A"/>
    <w:rsid w:val="15C945EA"/>
    <w:rsid w:val="15F9F589"/>
    <w:rsid w:val="167071EE"/>
    <w:rsid w:val="16A12920"/>
    <w:rsid w:val="1714CB67"/>
    <w:rsid w:val="171ADD3C"/>
    <w:rsid w:val="174DA46C"/>
    <w:rsid w:val="17822D4C"/>
    <w:rsid w:val="179839F0"/>
    <w:rsid w:val="17A4DDD9"/>
    <w:rsid w:val="17B6B2B2"/>
    <w:rsid w:val="17D33EAB"/>
    <w:rsid w:val="17E00F16"/>
    <w:rsid w:val="17FA49B8"/>
    <w:rsid w:val="1808E869"/>
    <w:rsid w:val="185D148E"/>
    <w:rsid w:val="1879CD69"/>
    <w:rsid w:val="190E566D"/>
    <w:rsid w:val="19E19AF5"/>
    <w:rsid w:val="1A27FB2E"/>
    <w:rsid w:val="1A762D34"/>
    <w:rsid w:val="1ADEA10D"/>
    <w:rsid w:val="1B04D4D4"/>
    <w:rsid w:val="1B33EE4B"/>
    <w:rsid w:val="1B671F0E"/>
    <w:rsid w:val="1BC81A0B"/>
    <w:rsid w:val="1BCBE362"/>
    <w:rsid w:val="1BE3D8FC"/>
    <w:rsid w:val="1BEC2FD9"/>
    <w:rsid w:val="1C5A115E"/>
    <w:rsid w:val="1C5F36F9"/>
    <w:rsid w:val="1C8852D5"/>
    <w:rsid w:val="1C8B5CFE"/>
    <w:rsid w:val="1CBAFD71"/>
    <w:rsid w:val="1CD8C480"/>
    <w:rsid w:val="1CDC279D"/>
    <w:rsid w:val="1D229673"/>
    <w:rsid w:val="1D4B48EF"/>
    <w:rsid w:val="1D553F4B"/>
    <w:rsid w:val="1D6B67B8"/>
    <w:rsid w:val="1D88003A"/>
    <w:rsid w:val="1DE0B06B"/>
    <w:rsid w:val="1E10A690"/>
    <w:rsid w:val="1E2A8E69"/>
    <w:rsid w:val="1E6229B9"/>
    <w:rsid w:val="1E9F7CFB"/>
    <w:rsid w:val="1EA00CEB"/>
    <w:rsid w:val="1EA2BFD9"/>
    <w:rsid w:val="1EF7CD47"/>
    <w:rsid w:val="1F2BEE06"/>
    <w:rsid w:val="1F356E41"/>
    <w:rsid w:val="1F76C696"/>
    <w:rsid w:val="1F86DA91"/>
    <w:rsid w:val="1FCF878A"/>
    <w:rsid w:val="1FD59006"/>
    <w:rsid w:val="1FD98667"/>
    <w:rsid w:val="2078187F"/>
    <w:rsid w:val="21169B1A"/>
    <w:rsid w:val="215CC0F9"/>
    <w:rsid w:val="2171923D"/>
    <w:rsid w:val="2191465F"/>
    <w:rsid w:val="21DD92BF"/>
    <w:rsid w:val="2207BBA6"/>
    <w:rsid w:val="22092F1D"/>
    <w:rsid w:val="222818F6"/>
    <w:rsid w:val="22534578"/>
    <w:rsid w:val="2293FD76"/>
    <w:rsid w:val="22F1CC34"/>
    <w:rsid w:val="234F8C6E"/>
    <w:rsid w:val="23703CAF"/>
    <w:rsid w:val="23A55AD9"/>
    <w:rsid w:val="23B0124E"/>
    <w:rsid w:val="23CD809A"/>
    <w:rsid w:val="23E48947"/>
    <w:rsid w:val="23E7A516"/>
    <w:rsid w:val="240B0C26"/>
    <w:rsid w:val="2433EBCA"/>
    <w:rsid w:val="24438137"/>
    <w:rsid w:val="244ED354"/>
    <w:rsid w:val="246D5886"/>
    <w:rsid w:val="2473CCE5"/>
    <w:rsid w:val="2477723C"/>
    <w:rsid w:val="248229CA"/>
    <w:rsid w:val="24AC0CA7"/>
    <w:rsid w:val="2519EDE8"/>
    <w:rsid w:val="258593FD"/>
    <w:rsid w:val="25A455B6"/>
    <w:rsid w:val="2611746B"/>
    <w:rsid w:val="26A160CE"/>
    <w:rsid w:val="26FDE4EC"/>
    <w:rsid w:val="2700120D"/>
    <w:rsid w:val="2722CFD5"/>
    <w:rsid w:val="274456CF"/>
    <w:rsid w:val="274508FC"/>
    <w:rsid w:val="27894DBE"/>
    <w:rsid w:val="27E22175"/>
    <w:rsid w:val="2855C83B"/>
    <w:rsid w:val="2870AB54"/>
    <w:rsid w:val="2879E44E"/>
    <w:rsid w:val="288D10F8"/>
    <w:rsid w:val="28E46E15"/>
    <w:rsid w:val="28F2D67D"/>
    <w:rsid w:val="290C0BF4"/>
    <w:rsid w:val="293C67F8"/>
    <w:rsid w:val="29B14F73"/>
    <w:rsid w:val="29D92FD7"/>
    <w:rsid w:val="2A2B4806"/>
    <w:rsid w:val="2A44C972"/>
    <w:rsid w:val="2A716DE5"/>
    <w:rsid w:val="2A8C9AF0"/>
    <w:rsid w:val="2ACF84EF"/>
    <w:rsid w:val="2B39896B"/>
    <w:rsid w:val="2B81B220"/>
    <w:rsid w:val="2B9C141E"/>
    <w:rsid w:val="2BA1019B"/>
    <w:rsid w:val="2BDA1F3F"/>
    <w:rsid w:val="2C0CAD7A"/>
    <w:rsid w:val="2C8B83E2"/>
    <w:rsid w:val="2CDB2C0E"/>
    <w:rsid w:val="2CE9C764"/>
    <w:rsid w:val="2CEE8229"/>
    <w:rsid w:val="2D04E704"/>
    <w:rsid w:val="2D4EAAC9"/>
    <w:rsid w:val="2D5165D7"/>
    <w:rsid w:val="2D8DD8C3"/>
    <w:rsid w:val="2E236D06"/>
    <w:rsid w:val="2E483AA0"/>
    <w:rsid w:val="2E7436A6"/>
    <w:rsid w:val="2E801F40"/>
    <w:rsid w:val="2EA11D07"/>
    <w:rsid w:val="2EBF9249"/>
    <w:rsid w:val="2ECBFA2B"/>
    <w:rsid w:val="2F1034B2"/>
    <w:rsid w:val="2F474958"/>
    <w:rsid w:val="2F7C132B"/>
    <w:rsid w:val="2F947BEF"/>
    <w:rsid w:val="2FC44844"/>
    <w:rsid w:val="2FDBD9BF"/>
    <w:rsid w:val="2FDED23E"/>
    <w:rsid w:val="2FEC07BB"/>
    <w:rsid w:val="3020D0AE"/>
    <w:rsid w:val="303906A2"/>
    <w:rsid w:val="30739DDD"/>
    <w:rsid w:val="30848956"/>
    <w:rsid w:val="30AF23EC"/>
    <w:rsid w:val="30F779E6"/>
    <w:rsid w:val="310FD741"/>
    <w:rsid w:val="3129075F"/>
    <w:rsid w:val="31295A4D"/>
    <w:rsid w:val="315657CF"/>
    <w:rsid w:val="3162FE8F"/>
    <w:rsid w:val="31790278"/>
    <w:rsid w:val="318BD954"/>
    <w:rsid w:val="31A1F428"/>
    <w:rsid w:val="31A614F1"/>
    <w:rsid w:val="31B75782"/>
    <w:rsid w:val="31C52FC3"/>
    <w:rsid w:val="31D4725C"/>
    <w:rsid w:val="321BEE50"/>
    <w:rsid w:val="323EAC18"/>
    <w:rsid w:val="32474706"/>
    <w:rsid w:val="32605A50"/>
    <w:rsid w:val="3260618D"/>
    <w:rsid w:val="326579E4"/>
    <w:rsid w:val="32BF4A5F"/>
    <w:rsid w:val="32D790BC"/>
    <w:rsid w:val="32E77A77"/>
    <w:rsid w:val="331B35C1"/>
    <w:rsid w:val="331D0FA1"/>
    <w:rsid w:val="3326B985"/>
    <w:rsid w:val="332B18FD"/>
    <w:rsid w:val="3331E70E"/>
    <w:rsid w:val="33379B3E"/>
    <w:rsid w:val="33493F0C"/>
    <w:rsid w:val="33A623B4"/>
    <w:rsid w:val="33BD2637"/>
    <w:rsid w:val="33EAC7A1"/>
    <w:rsid w:val="33FC2AB1"/>
    <w:rsid w:val="343E9012"/>
    <w:rsid w:val="3454C1F2"/>
    <w:rsid w:val="345CC81E"/>
    <w:rsid w:val="346786D4"/>
    <w:rsid w:val="346BE7A3"/>
    <w:rsid w:val="34988065"/>
    <w:rsid w:val="34A7C2FE"/>
    <w:rsid w:val="34F7253C"/>
    <w:rsid w:val="35062B41"/>
    <w:rsid w:val="351F5D3B"/>
    <w:rsid w:val="3584ACF3"/>
    <w:rsid w:val="358DB3E7"/>
    <w:rsid w:val="35A39AB0"/>
    <w:rsid w:val="35DFBF20"/>
    <w:rsid w:val="35F6918D"/>
    <w:rsid w:val="361A0733"/>
    <w:rsid w:val="3621C901"/>
    <w:rsid w:val="3626B8E5"/>
    <w:rsid w:val="36D13EE8"/>
    <w:rsid w:val="36EC6BE2"/>
    <w:rsid w:val="372187F4"/>
    <w:rsid w:val="378D9F39"/>
    <w:rsid w:val="37E19BEF"/>
    <w:rsid w:val="3814C11B"/>
    <w:rsid w:val="3828E2A3"/>
    <w:rsid w:val="383DE6B8"/>
    <w:rsid w:val="385BAD4D"/>
    <w:rsid w:val="38BFFF2C"/>
    <w:rsid w:val="390FFB58"/>
    <w:rsid w:val="39A86E2A"/>
    <w:rsid w:val="39AE0C1A"/>
    <w:rsid w:val="39AF9167"/>
    <w:rsid w:val="39BEE5C6"/>
    <w:rsid w:val="3A022CA7"/>
    <w:rsid w:val="3A123989"/>
    <w:rsid w:val="3A262D18"/>
    <w:rsid w:val="3A47553A"/>
    <w:rsid w:val="3A5BCF8D"/>
    <w:rsid w:val="3A6CF343"/>
    <w:rsid w:val="3A9F5A01"/>
    <w:rsid w:val="3ADEB4E3"/>
    <w:rsid w:val="3B21599E"/>
    <w:rsid w:val="3B32251D"/>
    <w:rsid w:val="3B362AE2"/>
    <w:rsid w:val="3B9FF55F"/>
    <w:rsid w:val="3BC17AA0"/>
    <w:rsid w:val="3BF68A8E"/>
    <w:rsid w:val="3C2A1836"/>
    <w:rsid w:val="3C47BF7C"/>
    <w:rsid w:val="3C65BE98"/>
    <w:rsid w:val="3C85AF41"/>
    <w:rsid w:val="3CAC7B9B"/>
    <w:rsid w:val="3CD9266D"/>
    <w:rsid w:val="3CF1245D"/>
    <w:rsid w:val="3D0E7A9F"/>
    <w:rsid w:val="3D2431DC"/>
    <w:rsid w:val="3D6DE390"/>
    <w:rsid w:val="3D7F28FF"/>
    <w:rsid w:val="3D9ADF68"/>
    <w:rsid w:val="3DC239B5"/>
    <w:rsid w:val="3DC7910E"/>
    <w:rsid w:val="3DCCE173"/>
    <w:rsid w:val="3DFBB223"/>
    <w:rsid w:val="3E0311F2"/>
    <w:rsid w:val="3E7A693E"/>
    <w:rsid w:val="3EAEBEBF"/>
    <w:rsid w:val="3EFF80A7"/>
    <w:rsid w:val="3FBD858F"/>
    <w:rsid w:val="40325239"/>
    <w:rsid w:val="404FF67D"/>
    <w:rsid w:val="405117F9"/>
    <w:rsid w:val="405E9FD6"/>
    <w:rsid w:val="4062F802"/>
    <w:rsid w:val="406A0144"/>
    <w:rsid w:val="40B242C3"/>
    <w:rsid w:val="40B82B82"/>
    <w:rsid w:val="40C9CB00"/>
    <w:rsid w:val="41057E54"/>
    <w:rsid w:val="41244763"/>
    <w:rsid w:val="41314330"/>
    <w:rsid w:val="41972A60"/>
    <w:rsid w:val="41B552E7"/>
    <w:rsid w:val="420C23CB"/>
    <w:rsid w:val="42100BC4"/>
    <w:rsid w:val="42458B1A"/>
    <w:rsid w:val="4249E34E"/>
    <w:rsid w:val="424E91F7"/>
    <w:rsid w:val="4253D3C3"/>
    <w:rsid w:val="425C1DF8"/>
    <w:rsid w:val="428E8FEE"/>
    <w:rsid w:val="429BFDEC"/>
    <w:rsid w:val="42D8F098"/>
    <w:rsid w:val="4327A60D"/>
    <w:rsid w:val="4331F078"/>
    <w:rsid w:val="4332B89F"/>
    <w:rsid w:val="43A9D936"/>
    <w:rsid w:val="43B0D63C"/>
    <w:rsid w:val="43D3E8CD"/>
    <w:rsid w:val="44141D40"/>
    <w:rsid w:val="441C643D"/>
    <w:rsid w:val="4437CA1D"/>
    <w:rsid w:val="44529B56"/>
    <w:rsid w:val="4465E402"/>
    <w:rsid w:val="446A2908"/>
    <w:rsid w:val="44ADF72E"/>
    <w:rsid w:val="44CEC190"/>
    <w:rsid w:val="44F3CCF4"/>
    <w:rsid w:val="44F42B1E"/>
    <w:rsid w:val="454B2DAA"/>
    <w:rsid w:val="45CFDC8D"/>
    <w:rsid w:val="45F06294"/>
    <w:rsid w:val="4617B497"/>
    <w:rsid w:val="465523A2"/>
    <w:rsid w:val="46C4F44E"/>
    <w:rsid w:val="46CE3509"/>
    <w:rsid w:val="46D79434"/>
    <w:rsid w:val="46DB037C"/>
    <w:rsid w:val="46E4892E"/>
    <w:rsid w:val="46F665BE"/>
    <w:rsid w:val="471F96A1"/>
    <w:rsid w:val="47648D90"/>
    <w:rsid w:val="4786BD95"/>
    <w:rsid w:val="47986476"/>
    <w:rsid w:val="47BE7C24"/>
    <w:rsid w:val="47DE09E5"/>
    <w:rsid w:val="47E0A317"/>
    <w:rsid w:val="47F52F58"/>
    <w:rsid w:val="48779F03"/>
    <w:rsid w:val="48E2E02E"/>
    <w:rsid w:val="48E32E10"/>
    <w:rsid w:val="4928F2A5"/>
    <w:rsid w:val="49548B09"/>
    <w:rsid w:val="4973E42C"/>
    <w:rsid w:val="498E6293"/>
    <w:rsid w:val="49CF3826"/>
    <w:rsid w:val="4A1B1DA9"/>
    <w:rsid w:val="4A47E972"/>
    <w:rsid w:val="4A4E04C7"/>
    <w:rsid w:val="4A6266CC"/>
    <w:rsid w:val="4A966CD6"/>
    <w:rsid w:val="4ACC0BA7"/>
    <w:rsid w:val="4B1F16B2"/>
    <w:rsid w:val="4B4409B2"/>
    <w:rsid w:val="4B48EA15"/>
    <w:rsid w:val="4B491469"/>
    <w:rsid w:val="4B76A20B"/>
    <w:rsid w:val="4B8ED060"/>
    <w:rsid w:val="4BF7A16A"/>
    <w:rsid w:val="4BFDD828"/>
    <w:rsid w:val="4C0C6FFE"/>
    <w:rsid w:val="4C0EB34E"/>
    <w:rsid w:val="4C3DB597"/>
    <w:rsid w:val="4C589BE3"/>
    <w:rsid w:val="4C7BB8A3"/>
    <w:rsid w:val="4C81A3DE"/>
    <w:rsid w:val="4C8FEA58"/>
    <w:rsid w:val="4D3FA7E3"/>
    <w:rsid w:val="4D5C33DC"/>
    <w:rsid w:val="4DA4C233"/>
    <w:rsid w:val="4DA58661"/>
    <w:rsid w:val="4DBB8CB0"/>
    <w:rsid w:val="4E47A4A2"/>
    <w:rsid w:val="4E842EAF"/>
    <w:rsid w:val="4E8B9F72"/>
    <w:rsid w:val="4E92CD60"/>
    <w:rsid w:val="4EA31FED"/>
    <w:rsid w:val="4ED4F40D"/>
    <w:rsid w:val="4EE8D9C0"/>
    <w:rsid w:val="4F7DA6AE"/>
    <w:rsid w:val="4F8AE576"/>
    <w:rsid w:val="4F8DBF83"/>
    <w:rsid w:val="4FA74D04"/>
    <w:rsid w:val="500B5319"/>
    <w:rsid w:val="5014D354"/>
    <w:rsid w:val="502F9BB8"/>
    <w:rsid w:val="5039276D"/>
    <w:rsid w:val="50A3E740"/>
    <w:rsid w:val="50BF887B"/>
    <w:rsid w:val="50F295FA"/>
    <w:rsid w:val="511184A1"/>
    <w:rsid w:val="5186EBA4"/>
    <w:rsid w:val="5192840C"/>
    <w:rsid w:val="51957548"/>
    <w:rsid w:val="51B65B7B"/>
    <w:rsid w:val="51E3262C"/>
    <w:rsid w:val="51EBDD00"/>
    <w:rsid w:val="52172C36"/>
    <w:rsid w:val="5279FC22"/>
    <w:rsid w:val="5293D637"/>
    <w:rsid w:val="529A1721"/>
    <w:rsid w:val="530D5FA8"/>
    <w:rsid w:val="534EC33F"/>
    <w:rsid w:val="53964576"/>
    <w:rsid w:val="53C5B3E4"/>
    <w:rsid w:val="5415C184"/>
    <w:rsid w:val="54495366"/>
    <w:rsid w:val="547FADF2"/>
    <w:rsid w:val="54BA606F"/>
    <w:rsid w:val="54D6B566"/>
    <w:rsid w:val="54DDEF5B"/>
    <w:rsid w:val="54E9E47E"/>
    <w:rsid w:val="55268863"/>
    <w:rsid w:val="553A8458"/>
    <w:rsid w:val="554A7524"/>
    <w:rsid w:val="55A860A8"/>
    <w:rsid w:val="55AB25DC"/>
    <w:rsid w:val="55ECABAB"/>
    <w:rsid w:val="5604EE0F"/>
    <w:rsid w:val="562B2E36"/>
    <w:rsid w:val="5650F0C2"/>
    <w:rsid w:val="568F4094"/>
    <w:rsid w:val="5695BFE9"/>
    <w:rsid w:val="56AAFF21"/>
    <w:rsid w:val="56AE461D"/>
    <w:rsid w:val="56D35CC7"/>
    <w:rsid w:val="573A5621"/>
    <w:rsid w:val="5781D497"/>
    <w:rsid w:val="57964C05"/>
    <w:rsid w:val="57A06C82"/>
    <w:rsid w:val="57B27961"/>
    <w:rsid w:val="57FB07F5"/>
    <w:rsid w:val="5823BBE2"/>
    <w:rsid w:val="58D4A665"/>
    <w:rsid w:val="58E2AE82"/>
    <w:rsid w:val="58F7006A"/>
    <w:rsid w:val="591414A4"/>
    <w:rsid w:val="592EFB7F"/>
    <w:rsid w:val="5940081D"/>
    <w:rsid w:val="5966FC27"/>
    <w:rsid w:val="5A262227"/>
    <w:rsid w:val="5A32CA59"/>
    <w:rsid w:val="5A5A81C9"/>
    <w:rsid w:val="5AC7FAFB"/>
    <w:rsid w:val="5AED1A50"/>
    <w:rsid w:val="5B7AF8AA"/>
    <w:rsid w:val="5B8E52E9"/>
    <w:rsid w:val="5BCFD498"/>
    <w:rsid w:val="5C08C6E7"/>
    <w:rsid w:val="5C390747"/>
    <w:rsid w:val="5C661152"/>
    <w:rsid w:val="5C7455F4"/>
    <w:rsid w:val="5C7A0CDE"/>
    <w:rsid w:val="5C959542"/>
    <w:rsid w:val="5C96A9AB"/>
    <w:rsid w:val="5C9998C1"/>
    <w:rsid w:val="5CDA81A0"/>
    <w:rsid w:val="5CE0E1E4"/>
    <w:rsid w:val="5CE5B2ED"/>
    <w:rsid w:val="5D03D455"/>
    <w:rsid w:val="5D2BBA11"/>
    <w:rsid w:val="5D47986F"/>
    <w:rsid w:val="5D640D1B"/>
    <w:rsid w:val="5D71E705"/>
    <w:rsid w:val="5D88578A"/>
    <w:rsid w:val="5E00DB55"/>
    <w:rsid w:val="5E1BF9A6"/>
    <w:rsid w:val="5E2E78B6"/>
    <w:rsid w:val="5E38859F"/>
    <w:rsid w:val="5E972507"/>
    <w:rsid w:val="5F0029A7"/>
    <w:rsid w:val="5F195204"/>
    <w:rsid w:val="5F1BF917"/>
    <w:rsid w:val="5F729C3D"/>
    <w:rsid w:val="5FD35840"/>
    <w:rsid w:val="5FE9F18D"/>
    <w:rsid w:val="5FFBAB1A"/>
    <w:rsid w:val="6022E16F"/>
    <w:rsid w:val="607647E3"/>
    <w:rsid w:val="6077A70D"/>
    <w:rsid w:val="6085C703"/>
    <w:rsid w:val="608FAF00"/>
    <w:rsid w:val="60EC05AB"/>
    <w:rsid w:val="60ED47E5"/>
    <w:rsid w:val="61225EB6"/>
    <w:rsid w:val="6134F7AE"/>
    <w:rsid w:val="6172CB8D"/>
    <w:rsid w:val="617BE7D6"/>
    <w:rsid w:val="6191E80A"/>
    <w:rsid w:val="62155693"/>
    <w:rsid w:val="627D29BF"/>
    <w:rsid w:val="628AF289"/>
    <w:rsid w:val="6296A852"/>
    <w:rsid w:val="62CD0AFA"/>
    <w:rsid w:val="62DE8F6A"/>
    <w:rsid w:val="62E6716D"/>
    <w:rsid w:val="62E98BC5"/>
    <w:rsid w:val="6323FA02"/>
    <w:rsid w:val="6369892E"/>
    <w:rsid w:val="637296D6"/>
    <w:rsid w:val="63A32E00"/>
    <w:rsid w:val="63CA9CD7"/>
    <w:rsid w:val="63EAD3D7"/>
    <w:rsid w:val="642A3232"/>
    <w:rsid w:val="6433DA74"/>
    <w:rsid w:val="6450B05F"/>
    <w:rsid w:val="646288F3"/>
    <w:rsid w:val="6466D8CC"/>
    <w:rsid w:val="6473DBA3"/>
    <w:rsid w:val="648C19C1"/>
    <w:rsid w:val="6498C454"/>
    <w:rsid w:val="64F297AA"/>
    <w:rsid w:val="64FAEE65"/>
    <w:rsid w:val="65407E3A"/>
    <w:rsid w:val="65C5DC32"/>
    <w:rsid w:val="65D99A4F"/>
    <w:rsid w:val="65EB4F95"/>
    <w:rsid w:val="66480457"/>
    <w:rsid w:val="664A692D"/>
    <w:rsid w:val="665A07F2"/>
    <w:rsid w:val="665AA3C2"/>
    <w:rsid w:val="667DD896"/>
    <w:rsid w:val="66899FDB"/>
    <w:rsid w:val="66A40398"/>
    <w:rsid w:val="66E8DE13"/>
    <w:rsid w:val="66F1F177"/>
    <w:rsid w:val="6722C5A1"/>
    <w:rsid w:val="676E7A44"/>
    <w:rsid w:val="678E4166"/>
    <w:rsid w:val="67BD9507"/>
    <w:rsid w:val="67E1B124"/>
    <w:rsid w:val="6800ED07"/>
    <w:rsid w:val="6817893F"/>
    <w:rsid w:val="68526BB6"/>
    <w:rsid w:val="68BC5EBE"/>
    <w:rsid w:val="6916C006"/>
    <w:rsid w:val="69212192"/>
    <w:rsid w:val="69AEC18D"/>
    <w:rsid w:val="69E4F2A6"/>
    <w:rsid w:val="6A546499"/>
    <w:rsid w:val="6A5B6D33"/>
    <w:rsid w:val="6A608C9F"/>
    <w:rsid w:val="6A6E09B2"/>
    <w:rsid w:val="6A71ACA8"/>
    <w:rsid w:val="6A852E3E"/>
    <w:rsid w:val="6AACB568"/>
    <w:rsid w:val="6AAE0873"/>
    <w:rsid w:val="6AD01D25"/>
    <w:rsid w:val="6AD4E988"/>
    <w:rsid w:val="6B091FAE"/>
    <w:rsid w:val="6B2655D8"/>
    <w:rsid w:val="6B338FFC"/>
    <w:rsid w:val="6B464681"/>
    <w:rsid w:val="6B57F36A"/>
    <w:rsid w:val="6B84133E"/>
    <w:rsid w:val="6BB0D000"/>
    <w:rsid w:val="6BB772A7"/>
    <w:rsid w:val="6BE15A35"/>
    <w:rsid w:val="6C86ECEE"/>
    <w:rsid w:val="6C88284E"/>
    <w:rsid w:val="6C932A51"/>
    <w:rsid w:val="6CD0F993"/>
    <w:rsid w:val="6CD5716A"/>
    <w:rsid w:val="6D006943"/>
    <w:rsid w:val="6D067B18"/>
    <w:rsid w:val="6D27BED4"/>
    <w:rsid w:val="6D2F5FFE"/>
    <w:rsid w:val="6D6FFCA6"/>
    <w:rsid w:val="6D87373C"/>
    <w:rsid w:val="6D8A5B6C"/>
    <w:rsid w:val="6DA78DA2"/>
    <w:rsid w:val="6DFAECA4"/>
    <w:rsid w:val="6E641E2D"/>
    <w:rsid w:val="6E674F97"/>
    <w:rsid w:val="6E86F908"/>
    <w:rsid w:val="6ED12B3C"/>
    <w:rsid w:val="6ED210F6"/>
    <w:rsid w:val="6F207276"/>
    <w:rsid w:val="6F391E10"/>
    <w:rsid w:val="6F75E348"/>
    <w:rsid w:val="6FC61594"/>
    <w:rsid w:val="6FE30907"/>
    <w:rsid w:val="7010C59F"/>
    <w:rsid w:val="702335E7"/>
    <w:rsid w:val="7023DCA9"/>
    <w:rsid w:val="703B0B9A"/>
    <w:rsid w:val="70867445"/>
    <w:rsid w:val="7154118D"/>
    <w:rsid w:val="71AE8966"/>
    <w:rsid w:val="71B81A8A"/>
    <w:rsid w:val="71DB2A85"/>
    <w:rsid w:val="720797A1"/>
    <w:rsid w:val="7230FD93"/>
    <w:rsid w:val="723AEFC7"/>
    <w:rsid w:val="72529E1D"/>
    <w:rsid w:val="725A28BD"/>
    <w:rsid w:val="72BA4A17"/>
    <w:rsid w:val="72C2B19B"/>
    <w:rsid w:val="72F9630B"/>
    <w:rsid w:val="731E5BE6"/>
    <w:rsid w:val="732169DB"/>
    <w:rsid w:val="7367444C"/>
    <w:rsid w:val="73949B88"/>
    <w:rsid w:val="73FC834C"/>
    <w:rsid w:val="744623E8"/>
    <w:rsid w:val="74C57E64"/>
    <w:rsid w:val="74E00914"/>
    <w:rsid w:val="74E42AD4"/>
    <w:rsid w:val="74F6A9E4"/>
    <w:rsid w:val="74FBC950"/>
    <w:rsid w:val="75636C12"/>
    <w:rsid w:val="75958CFB"/>
    <w:rsid w:val="75B76F5C"/>
    <w:rsid w:val="75C12DE2"/>
    <w:rsid w:val="75C19011"/>
    <w:rsid w:val="75CE0803"/>
    <w:rsid w:val="75DBBADD"/>
    <w:rsid w:val="760BDBB5"/>
    <w:rsid w:val="76AB5A15"/>
    <w:rsid w:val="76B92DFC"/>
    <w:rsid w:val="76BC615C"/>
    <w:rsid w:val="76D2D2FC"/>
    <w:rsid w:val="76E1B884"/>
    <w:rsid w:val="76F92A04"/>
    <w:rsid w:val="77024F62"/>
    <w:rsid w:val="771FF3DF"/>
    <w:rsid w:val="773E8576"/>
    <w:rsid w:val="776C875A"/>
    <w:rsid w:val="77B64ECF"/>
    <w:rsid w:val="77BB5A16"/>
    <w:rsid w:val="77F7C929"/>
    <w:rsid w:val="781783EA"/>
    <w:rsid w:val="782B6CBD"/>
    <w:rsid w:val="784227E9"/>
    <w:rsid w:val="78789E6A"/>
    <w:rsid w:val="788E9E9E"/>
    <w:rsid w:val="78A118E0"/>
    <w:rsid w:val="78E2D826"/>
    <w:rsid w:val="78FDEE10"/>
    <w:rsid w:val="79028C48"/>
    <w:rsid w:val="79037AB5"/>
    <w:rsid w:val="79056A6B"/>
    <w:rsid w:val="79227EB0"/>
    <w:rsid w:val="7A24DBCB"/>
    <w:rsid w:val="7A272B16"/>
    <w:rsid w:val="7A615245"/>
    <w:rsid w:val="7AA798E9"/>
    <w:rsid w:val="7AC84F8A"/>
    <w:rsid w:val="7ADDE8BD"/>
    <w:rsid w:val="7AE4848E"/>
    <w:rsid w:val="7B314AF5"/>
    <w:rsid w:val="7B87B263"/>
    <w:rsid w:val="7BA5B73F"/>
    <w:rsid w:val="7BF0006B"/>
    <w:rsid w:val="7BFD8DED"/>
    <w:rsid w:val="7C1FF345"/>
    <w:rsid w:val="7C2B0F54"/>
    <w:rsid w:val="7C30D40D"/>
    <w:rsid w:val="7C34C489"/>
    <w:rsid w:val="7C68CA93"/>
    <w:rsid w:val="7C6DFFCF"/>
    <w:rsid w:val="7C7C23F0"/>
    <w:rsid w:val="7C990AF3"/>
    <w:rsid w:val="7CACEB2F"/>
    <w:rsid w:val="7D7F297C"/>
    <w:rsid w:val="7DB08DD5"/>
    <w:rsid w:val="7E12D968"/>
    <w:rsid w:val="7E1E3903"/>
    <w:rsid w:val="7E3E0167"/>
    <w:rsid w:val="7E67E444"/>
    <w:rsid w:val="7E689671"/>
    <w:rsid w:val="7E70A156"/>
    <w:rsid w:val="7EC477A7"/>
    <w:rsid w:val="7ECD4182"/>
    <w:rsid w:val="7EDDEF79"/>
    <w:rsid w:val="7EEB138C"/>
    <w:rsid w:val="7F30CF68"/>
    <w:rsid w:val="7F5ADCEE"/>
    <w:rsid w:val="7F5D5A39"/>
    <w:rsid w:val="7F758C59"/>
    <w:rsid w:val="7F87753D"/>
    <w:rsid w:val="7FB8BED1"/>
    <w:rsid w:val="7FBF87FF"/>
    <w:rsid w:val="7FC164E8"/>
    <w:rsid w:val="7FD31DE3"/>
    <w:rsid w:val="7FEA1B31"/>
    <w:rsid w:val="7FF611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8631"/>
  <w15:chartTrackingRefBased/>
  <w15:docId w15:val="{A80D0C83-FF40-4C0B-AC26-A515C9BF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326"/>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b/>
      <w:sz w:val="28"/>
    </w:rPr>
  </w:style>
  <w:style w:type="paragraph" w:styleId="Heading3">
    <w:name w:val="heading 3"/>
    <w:basedOn w:val="Normal"/>
    <w:next w:val="Normal"/>
    <w:qFormat/>
    <w:pPr>
      <w:keepNext/>
      <w:outlineLvl w:val="2"/>
    </w:pPr>
    <w:rPr>
      <w:rFonts w:ascii="CG Omega" w:hAnsi="CG Omega"/>
      <w:b/>
      <w:sz w:val="24"/>
    </w:rPr>
  </w:style>
  <w:style w:type="paragraph" w:styleId="Heading4">
    <w:name w:val="heading 4"/>
    <w:basedOn w:val="Normal"/>
    <w:next w:val="Normal"/>
    <w:qFormat/>
    <w:pPr>
      <w:keepNext/>
      <w:outlineLvl w:val="3"/>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8"/>
    </w:rPr>
  </w:style>
  <w:style w:type="paragraph" w:styleId="BalloonText">
    <w:name w:val="Balloon Text"/>
    <w:basedOn w:val="Normal"/>
    <w:link w:val="BalloonTextChar"/>
    <w:uiPriority w:val="99"/>
    <w:semiHidden/>
    <w:unhideWhenUsed/>
    <w:rsid w:val="00257167"/>
    <w:rPr>
      <w:rFonts w:ascii="Tahoma" w:hAnsi="Tahoma" w:cs="Tahoma"/>
      <w:sz w:val="16"/>
      <w:szCs w:val="16"/>
    </w:rPr>
  </w:style>
  <w:style w:type="character" w:customStyle="1" w:styleId="BalloonTextChar">
    <w:name w:val="Balloon Text Char"/>
    <w:link w:val="BalloonText"/>
    <w:uiPriority w:val="99"/>
    <w:semiHidden/>
    <w:rsid w:val="00257167"/>
    <w:rPr>
      <w:rFonts w:ascii="Tahoma" w:hAnsi="Tahoma" w:cs="Tahoma"/>
      <w:sz w:val="16"/>
      <w:szCs w:val="16"/>
      <w:lang w:eastAsia="en-US"/>
    </w:rPr>
  </w:style>
  <w:style w:type="paragraph" w:styleId="Header">
    <w:name w:val="header"/>
    <w:basedOn w:val="Normal"/>
    <w:link w:val="HeaderChar"/>
    <w:uiPriority w:val="99"/>
    <w:unhideWhenUsed/>
    <w:rsid w:val="00CE103B"/>
    <w:pPr>
      <w:tabs>
        <w:tab w:val="center" w:pos="4513"/>
        <w:tab w:val="right" w:pos="9026"/>
      </w:tabs>
    </w:pPr>
  </w:style>
  <w:style w:type="character" w:customStyle="1" w:styleId="HeaderChar">
    <w:name w:val="Header Char"/>
    <w:link w:val="Header"/>
    <w:uiPriority w:val="99"/>
    <w:rsid w:val="00CE103B"/>
    <w:rPr>
      <w:lang w:eastAsia="en-US"/>
    </w:rPr>
  </w:style>
  <w:style w:type="paragraph" w:styleId="Footer">
    <w:name w:val="footer"/>
    <w:basedOn w:val="Normal"/>
    <w:link w:val="FooterChar"/>
    <w:unhideWhenUsed/>
    <w:rsid w:val="00CE103B"/>
    <w:pPr>
      <w:tabs>
        <w:tab w:val="center" w:pos="4513"/>
        <w:tab w:val="right" w:pos="9026"/>
      </w:tabs>
    </w:pPr>
  </w:style>
  <w:style w:type="character" w:customStyle="1" w:styleId="FooterChar">
    <w:name w:val="Footer Char"/>
    <w:link w:val="Footer"/>
    <w:uiPriority w:val="99"/>
    <w:rsid w:val="00CE103B"/>
    <w:rPr>
      <w:lang w:eastAsia="en-US"/>
    </w:rPr>
  </w:style>
  <w:style w:type="character" w:styleId="Hyperlink">
    <w:name w:val="Hyperlink"/>
    <w:basedOn w:val="DefaultParagraphFont"/>
    <w:uiPriority w:val="99"/>
    <w:unhideWhenUsed/>
    <w:rsid w:val="00C3710F"/>
    <w:rPr>
      <w:color w:val="FAB72C" w:themeColor="hyperlink"/>
      <w:u w:val="single"/>
    </w:rPr>
  </w:style>
  <w:style w:type="paragraph" w:styleId="ListParagraph">
    <w:name w:val="List Paragraph"/>
    <w:basedOn w:val="Normal"/>
    <w:link w:val="ListParagraphChar"/>
    <w:uiPriority w:val="34"/>
    <w:qFormat/>
    <w:rsid w:val="001170BF"/>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D7654"/>
    <w:rPr>
      <w:color w:val="605E5C"/>
      <w:shd w:val="clear" w:color="auto" w:fill="E1DFDD"/>
    </w:rPr>
  </w:style>
  <w:style w:type="paragraph" w:styleId="FootnoteText">
    <w:name w:val="footnote text"/>
    <w:basedOn w:val="Normal"/>
    <w:link w:val="FootnoteTextChar"/>
    <w:uiPriority w:val="99"/>
    <w:semiHidden/>
    <w:unhideWhenUsed/>
    <w:rsid w:val="005B0120"/>
  </w:style>
  <w:style w:type="character" w:customStyle="1" w:styleId="FootnoteTextChar">
    <w:name w:val="Footnote Text Char"/>
    <w:basedOn w:val="DefaultParagraphFont"/>
    <w:link w:val="FootnoteText"/>
    <w:uiPriority w:val="99"/>
    <w:semiHidden/>
    <w:rsid w:val="005B0120"/>
    <w:rPr>
      <w:lang w:eastAsia="en-US"/>
    </w:rPr>
  </w:style>
  <w:style w:type="character" w:styleId="FootnoteReference">
    <w:name w:val="footnote reference"/>
    <w:basedOn w:val="DefaultParagraphFont"/>
    <w:uiPriority w:val="99"/>
    <w:semiHidden/>
    <w:unhideWhenUsed/>
    <w:rsid w:val="005B0120"/>
    <w:rPr>
      <w:vertAlign w:val="superscript"/>
    </w:rPr>
  </w:style>
  <w:style w:type="table" w:styleId="TableGrid">
    <w:name w:val="Table Grid"/>
    <w:basedOn w:val="TableNormal"/>
    <w:uiPriority w:val="59"/>
    <w:rsid w:val="00843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977"/>
    <w:rPr>
      <w:lang w:eastAsia="en-US"/>
    </w:rPr>
  </w:style>
  <w:style w:type="paragraph" w:styleId="NormalWeb">
    <w:name w:val="Normal (Web)"/>
    <w:basedOn w:val="Normal"/>
    <w:uiPriority w:val="99"/>
    <w:semiHidden/>
    <w:unhideWhenUsed/>
    <w:rsid w:val="00E313E0"/>
    <w:pPr>
      <w:spacing w:before="100" w:beforeAutospacing="1" w:after="100" w:afterAutospacing="1"/>
    </w:pPr>
    <w:rPr>
      <w:sz w:val="24"/>
      <w:szCs w:val="24"/>
      <w:lang w:eastAsia="en-GB"/>
    </w:rPr>
  </w:style>
  <w:style w:type="character" w:styleId="Strong">
    <w:name w:val="Strong"/>
    <w:basedOn w:val="DefaultParagraphFont"/>
    <w:uiPriority w:val="22"/>
    <w:qFormat/>
    <w:rsid w:val="00E313E0"/>
    <w:rPr>
      <w:b/>
      <w:bCs/>
    </w:rPr>
  </w:style>
  <w:style w:type="character" w:styleId="FollowedHyperlink">
    <w:name w:val="FollowedHyperlink"/>
    <w:basedOn w:val="DefaultParagraphFont"/>
    <w:uiPriority w:val="99"/>
    <w:semiHidden/>
    <w:unhideWhenUsed/>
    <w:rsid w:val="00261CB3"/>
    <w:rPr>
      <w:color w:val="94D7F3" w:themeColor="followedHyperlink"/>
      <w:u w:val="single"/>
    </w:rPr>
  </w:style>
  <w:style w:type="paragraph" w:styleId="EndnoteText">
    <w:name w:val="endnote text"/>
    <w:basedOn w:val="Normal"/>
    <w:link w:val="EndnoteTextChar"/>
    <w:uiPriority w:val="99"/>
    <w:semiHidden/>
    <w:unhideWhenUsed/>
    <w:rsid w:val="00EF3914"/>
  </w:style>
  <w:style w:type="character" w:customStyle="1" w:styleId="EndnoteTextChar">
    <w:name w:val="Endnote Text Char"/>
    <w:basedOn w:val="DefaultParagraphFont"/>
    <w:link w:val="EndnoteText"/>
    <w:uiPriority w:val="99"/>
    <w:semiHidden/>
    <w:rsid w:val="00EF3914"/>
    <w:rPr>
      <w:lang w:eastAsia="en-US"/>
    </w:rPr>
  </w:style>
  <w:style w:type="character" w:styleId="EndnoteReference">
    <w:name w:val="endnote reference"/>
    <w:basedOn w:val="DefaultParagraphFont"/>
    <w:uiPriority w:val="99"/>
    <w:semiHidden/>
    <w:unhideWhenUsed/>
    <w:rsid w:val="00EF3914"/>
    <w:rPr>
      <w:vertAlign w:val="superscript"/>
    </w:rPr>
  </w:style>
  <w:style w:type="character" w:customStyle="1" w:styleId="ListParagraphChar">
    <w:name w:val="List Paragraph Char"/>
    <w:link w:val="ListParagraph"/>
    <w:uiPriority w:val="34"/>
    <w:locked/>
    <w:rsid w:val="002210A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714">
      <w:bodyDiv w:val="1"/>
      <w:marLeft w:val="0"/>
      <w:marRight w:val="0"/>
      <w:marTop w:val="0"/>
      <w:marBottom w:val="0"/>
      <w:divBdr>
        <w:top w:val="none" w:sz="0" w:space="0" w:color="auto"/>
        <w:left w:val="none" w:sz="0" w:space="0" w:color="auto"/>
        <w:bottom w:val="none" w:sz="0" w:space="0" w:color="auto"/>
        <w:right w:val="none" w:sz="0" w:space="0" w:color="auto"/>
      </w:divBdr>
      <w:divsChild>
        <w:div w:id="1943031232">
          <w:marLeft w:val="0"/>
          <w:marRight w:val="0"/>
          <w:marTop w:val="150"/>
          <w:marBottom w:val="150"/>
          <w:divBdr>
            <w:top w:val="none" w:sz="0" w:space="0" w:color="auto"/>
            <w:left w:val="none" w:sz="0" w:space="0" w:color="auto"/>
            <w:bottom w:val="none" w:sz="0" w:space="0" w:color="auto"/>
            <w:right w:val="none" w:sz="0" w:space="0" w:color="auto"/>
          </w:divBdr>
          <w:divsChild>
            <w:div w:id="1944143869">
              <w:marLeft w:val="0"/>
              <w:marRight w:val="0"/>
              <w:marTop w:val="0"/>
              <w:marBottom w:val="0"/>
              <w:divBdr>
                <w:top w:val="none" w:sz="0" w:space="0" w:color="auto"/>
                <w:left w:val="none" w:sz="0" w:space="0" w:color="auto"/>
                <w:bottom w:val="none" w:sz="0" w:space="0" w:color="auto"/>
                <w:right w:val="none" w:sz="0" w:space="0" w:color="auto"/>
              </w:divBdr>
              <w:divsChild>
                <w:div w:id="1801608255">
                  <w:marLeft w:val="0"/>
                  <w:marRight w:val="0"/>
                  <w:marTop w:val="0"/>
                  <w:marBottom w:val="0"/>
                  <w:divBdr>
                    <w:top w:val="none" w:sz="0" w:space="0" w:color="auto"/>
                    <w:left w:val="none" w:sz="0" w:space="0" w:color="auto"/>
                    <w:bottom w:val="none" w:sz="0" w:space="0" w:color="auto"/>
                    <w:right w:val="none" w:sz="0" w:space="0" w:color="auto"/>
                  </w:divBdr>
                  <w:divsChild>
                    <w:div w:id="1343702654">
                      <w:marLeft w:val="0"/>
                      <w:marRight w:val="0"/>
                      <w:marTop w:val="0"/>
                      <w:marBottom w:val="0"/>
                      <w:divBdr>
                        <w:top w:val="none" w:sz="0" w:space="0" w:color="auto"/>
                        <w:left w:val="none" w:sz="0" w:space="0" w:color="auto"/>
                        <w:bottom w:val="none" w:sz="0" w:space="0" w:color="auto"/>
                        <w:right w:val="none" w:sz="0" w:space="0" w:color="auto"/>
                      </w:divBdr>
                      <w:divsChild>
                        <w:div w:id="673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23250">
              <w:marLeft w:val="0"/>
              <w:marRight w:val="0"/>
              <w:marTop w:val="0"/>
              <w:marBottom w:val="450"/>
              <w:divBdr>
                <w:top w:val="none" w:sz="0" w:space="8" w:color="auto"/>
                <w:left w:val="none" w:sz="0" w:space="15" w:color="auto"/>
                <w:bottom w:val="single" w:sz="6" w:space="8" w:color="CCCCCC"/>
                <w:right w:val="none" w:sz="0" w:space="15" w:color="auto"/>
              </w:divBdr>
              <w:divsChild>
                <w:div w:id="12407514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5427842">
          <w:marLeft w:val="0"/>
          <w:marRight w:val="0"/>
          <w:marTop w:val="150"/>
          <w:marBottom w:val="150"/>
          <w:divBdr>
            <w:top w:val="none" w:sz="0" w:space="0" w:color="auto"/>
            <w:left w:val="none" w:sz="0" w:space="0" w:color="auto"/>
            <w:bottom w:val="none" w:sz="0" w:space="0" w:color="auto"/>
            <w:right w:val="none" w:sz="0" w:space="0" w:color="auto"/>
          </w:divBdr>
          <w:divsChild>
            <w:div w:id="1734087876">
              <w:marLeft w:val="0"/>
              <w:marRight w:val="0"/>
              <w:marTop w:val="0"/>
              <w:marBottom w:val="0"/>
              <w:divBdr>
                <w:top w:val="none" w:sz="0" w:space="0" w:color="auto"/>
                <w:left w:val="none" w:sz="0" w:space="0" w:color="auto"/>
                <w:bottom w:val="none" w:sz="0" w:space="0" w:color="auto"/>
                <w:right w:val="none" w:sz="0" w:space="0" w:color="auto"/>
              </w:divBdr>
              <w:divsChild>
                <w:div w:id="1896119301">
                  <w:marLeft w:val="0"/>
                  <w:marRight w:val="0"/>
                  <w:marTop w:val="0"/>
                  <w:marBottom w:val="0"/>
                  <w:divBdr>
                    <w:top w:val="none" w:sz="0" w:space="0" w:color="auto"/>
                    <w:left w:val="none" w:sz="0" w:space="0" w:color="auto"/>
                    <w:bottom w:val="none" w:sz="0" w:space="0" w:color="auto"/>
                    <w:right w:val="none" w:sz="0" w:space="0" w:color="auto"/>
                  </w:divBdr>
                  <w:divsChild>
                    <w:div w:id="1707364874">
                      <w:marLeft w:val="0"/>
                      <w:marRight w:val="0"/>
                      <w:marTop w:val="0"/>
                      <w:marBottom w:val="0"/>
                      <w:divBdr>
                        <w:top w:val="none" w:sz="0" w:space="0" w:color="auto"/>
                        <w:left w:val="none" w:sz="0" w:space="0" w:color="auto"/>
                        <w:bottom w:val="none" w:sz="0" w:space="0" w:color="auto"/>
                        <w:right w:val="none" w:sz="0" w:space="0" w:color="auto"/>
                      </w:divBdr>
                      <w:divsChild>
                        <w:div w:id="14531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5075">
              <w:marLeft w:val="0"/>
              <w:marRight w:val="0"/>
              <w:marTop w:val="0"/>
              <w:marBottom w:val="450"/>
              <w:divBdr>
                <w:top w:val="none" w:sz="0" w:space="8" w:color="auto"/>
                <w:left w:val="none" w:sz="0" w:space="15" w:color="auto"/>
                <w:bottom w:val="single" w:sz="6" w:space="8" w:color="CCCCCC"/>
                <w:right w:val="none" w:sz="0" w:space="15" w:color="auto"/>
              </w:divBdr>
              <w:divsChild>
                <w:div w:id="7356676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66661780">
          <w:marLeft w:val="0"/>
          <w:marRight w:val="0"/>
          <w:marTop w:val="150"/>
          <w:marBottom w:val="150"/>
          <w:divBdr>
            <w:top w:val="none" w:sz="0" w:space="0" w:color="auto"/>
            <w:left w:val="none" w:sz="0" w:space="0" w:color="auto"/>
            <w:bottom w:val="none" w:sz="0" w:space="0" w:color="auto"/>
            <w:right w:val="none" w:sz="0" w:space="0" w:color="auto"/>
          </w:divBdr>
          <w:divsChild>
            <w:div w:id="2083284895">
              <w:marLeft w:val="0"/>
              <w:marRight w:val="0"/>
              <w:marTop w:val="0"/>
              <w:marBottom w:val="0"/>
              <w:divBdr>
                <w:top w:val="none" w:sz="0" w:space="0" w:color="auto"/>
                <w:left w:val="none" w:sz="0" w:space="0" w:color="auto"/>
                <w:bottom w:val="none" w:sz="0" w:space="0" w:color="auto"/>
                <w:right w:val="none" w:sz="0" w:space="0" w:color="auto"/>
              </w:divBdr>
              <w:divsChild>
                <w:div w:id="1777746565">
                  <w:marLeft w:val="0"/>
                  <w:marRight w:val="0"/>
                  <w:marTop w:val="0"/>
                  <w:marBottom w:val="0"/>
                  <w:divBdr>
                    <w:top w:val="none" w:sz="0" w:space="0" w:color="auto"/>
                    <w:left w:val="none" w:sz="0" w:space="0" w:color="auto"/>
                    <w:bottom w:val="none" w:sz="0" w:space="0" w:color="auto"/>
                    <w:right w:val="none" w:sz="0" w:space="0" w:color="auto"/>
                  </w:divBdr>
                  <w:divsChild>
                    <w:div w:id="1389107975">
                      <w:marLeft w:val="0"/>
                      <w:marRight w:val="0"/>
                      <w:marTop w:val="0"/>
                      <w:marBottom w:val="0"/>
                      <w:divBdr>
                        <w:top w:val="none" w:sz="0" w:space="0" w:color="auto"/>
                        <w:left w:val="none" w:sz="0" w:space="0" w:color="auto"/>
                        <w:bottom w:val="none" w:sz="0" w:space="0" w:color="auto"/>
                        <w:right w:val="none" w:sz="0" w:space="0" w:color="auto"/>
                      </w:divBdr>
                      <w:divsChild>
                        <w:div w:id="8375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1937">
              <w:marLeft w:val="0"/>
              <w:marRight w:val="0"/>
              <w:marTop w:val="0"/>
              <w:marBottom w:val="450"/>
              <w:divBdr>
                <w:top w:val="none" w:sz="0" w:space="8" w:color="auto"/>
                <w:left w:val="none" w:sz="0" w:space="15" w:color="auto"/>
                <w:bottom w:val="single" w:sz="6" w:space="8" w:color="CCCCCC"/>
                <w:right w:val="none" w:sz="0" w:space="15" w:color="auto"/>
              </w:divBdr>
              <w:divsChild>
                <w:div w:id="1391076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23936602">
          <w:marLeft w:val="0"/>
          <w:marRight w:val="0"/>
          <w:marTop w:val="150"/>
          <w:marBottom w:val="150"/>
          <w:divBdr>
            <w:top w:val="none" w:sz="0" w:space="0" w:color="auto"/>
            <w:left w:val="none" w:sz="0" w:space="0" w:color="auto"/>
            <w:bottom w:val="none" w:sz="0" w:space="0" w:color="auto"/>
            <w:right w:val="none" w:sz="0" w:space="0" w:color="auto"/>
          </w:divBdr>
          <w:divsChild>
            <w:div w:id="1187333680">
              <w:marLeft w:val="0"/>
              <w:marRight w:val="0"/>
              <w:marTop w:val="0"/>
              <w:marBottom w:val="0"/>
              <w:divBdr>
                <w:top w:val="none" w:sz="0" w:space="0" w:color="auto"/>
                <w:left w:val="none" w:sz="0" w:space="0" w:color="auto"/>
                <w:bottom w:val="none" w:sz="0" w:space="0" w:color="auto"/>
                <w:right w:val="none" w:sz="0" w:space="0" w:color="auto"/>
              </w:divBdr>
              <w:divsChild>
                <w:div w:id="1657151689">
                  <w:marLeft w:val="0"/>
                  <w:marRight w:val="0"/>
                  <w:marTop w:val="0"/>
                  <w:marBottom w:val="0"/>
                  <w:divBdr>
                    <w:top w:val="none" w:sz="0" w:space="0" w:color="auto"/>
                    <w:left w:val="none" w:sz="0" w:space="0" w:color="auto"/>
                    <w:bottom w:val="none" w:sz="0" w:space="0" w:color="auto"/>
                    <w:right w:val="none" w:sz="0" w:space="0" w:color="auto"/>
                  </w:divBdr>
                  <w:divsChild>
                    <w:div w:id="86312476">
                      <w:marLeft w:val="0"/>
                      <w:marRight w:val="0"/>
                      <w:marTop w:val="0"/>
                      <w:marBottom w:val="0"/>
                      <w:divBdr>
                        <w:top w:val="none" w:sz="0" w:space="0" w:color="auto"/>
                        <w:left w:val="none" w:sz="0" w:space="0" w:color="auto"/>
                        <w:bottom w:val="none" w:sz="0" w:space="0" w:color="auto"/>
                        <w:right w:val="none" w:sz="0" w:space="0" w:color="auto"/>
                      </w:divBdr>
                      <w:divsChild>
                        <w:div w:id="18367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92536">
      <w:bodyDiv w:val="1"/>
      <w:marLeft w:val="0"/>
      <w:marRight w:val="0"/>
      <w:marTop w:val="0"/>
      <w:marBottom w:val="0"/>
      <w:divBdr>
        <w:top w:val="none" w:sz="0" w:space="0" w:color="auto"/>
        <w:left w:val="none" w:sz="0" w:space="0" w:color="auto"/>
        <w:bottom w:val="none" w:sz="0" w:space="0" w:color="auto"/>
        <w:right w:val="none" w:sz="0" w:space="0" w:color="auto"/>
      </w:divBdr>
    </w:div>
    <w:div w:id="336932015">
      <w:bodyDiv w:val="1"/>
      <w:marLeft w:val="0"/>
      <w:marRight w:val="0"/>
      <w:marTop w:val="0"/>
      <w:marBottom w:val="0"/>
      <w:divBdr>
        <w:top w:val="none" w:sz="0" w:space="0" w:color="auto"/>
        <w:left w:val="none" w:sz="0" w:space="0" w:color="auto"/>
        <w:bottom w:val="none" w:sz="0" w:space="0" w:color="auto"/>
        <w:right w:val="none" w:sz="0" w:space="0" w:color="auto"/>
      </w:divBdr>
    </w:div>
    <w:div w:id="374934601">
      <w:bodyDiv w:val="1"/>
      <w:marLeft w:val="0"/>
      <w:marRight w:val="0"/>
      <w:marTop w:val="0"/>
      <w:marBottom w:val="0"/>
      <w:divBdr>
        <w:top w:val="none" w:sz="0" w:space="0" w:color="auto"/>
        <w:left w:val="none" w:sz="0" w:space="0" w:color="auto"/>
        <w:bottom w:val="none" w:sz="0" w:space="0" w:color="auto"/>
        <w:right w:val="none" w:sz="0" w:space="0" w:color="auto"/>
      </w:divBdr>
    </w:div>
    <w:div w:id="467667117">
      <w:bodyDiv w:val="1"/>
      <w:marLeft w:val="0"/>
      <w:marRight w:val="0"/>
      <w:marTop w:val="0"/>
      <w:marBottom w:val="0"/>
      <w:divBdr>
        <w:top w:val="none" w:sz="0" w:space="0" w:color="auto"/>
        <w:left w:val="none" w:sz="0" w:space="0" w:color="auto"/>
        <w:bottom w:val="none" w:sz="0" w:space="0" w:color="auto"/>
        <w:right w:val="none" w:sz="0" w:space="0" w:color="auto"/>
      </w:divBdr>
    </w:div>
    <w:div w:id="805050637">
      <w:bodyDiv w:val="1"/>
      <w:marLeft w:val="0"/>
      <w:marRight w:val="0"/>
      <w:marTop w:val="0"/>
      <w:marBottom w:val="0"/>
      <w:divBdr>
        <w:top w:val="none" w:sz="0" w:space="0" w:color="auto"/>
        <w:left w:val="none" w:sz="0" w:space="0" w:color="auto"/>
        <w:bottom w:val="none" w:sz="0" w:space="0" w:color="auto"/>
        <w:right w:val="none" w:sz="0" w:space="0" w:color="auto"/>
      </w:divBdr>
    </w:div>
    <w:div w:id="861357784">
      <w:bodyDiv w:val="1"/>
      <w:marLeft w:val="0"/>
      <w:marRight w:val="0"/>
      <w:marTop w:val="0"/>
      <w:marBottom w:val="0"/>
      <w:divBdr>
        <w:top w:val="none" w:sz="0" w:space="0" w:color="auto"/>
        <w:left w:val="none" w:sz="0" w:space="0" w:color="auto"/>
        <w:bottom w:val="none" w:sz="0" w:space="0" w:color="auto"/>
        <w:right w:val="none" w:sz="0" w:space="0" w:color="auto"/>
      </w:divBdr>
    </w:div>
    <w:div w:id="887566408">
      <w:bodyDiv w:val="1"/>
      <w:marLeft w:val="0"/>
      <w:marRight w:val="0"/>
      <w:marTop w:val="0"/>
      <w:marBottom w:val="0"/>
      <w:divBdr>
        <w:top w:val="none" w:sz="0" w:space="0" w:color="auto"/>
        <w:left w:val="none" w:sz="0" w:space="0" w:color="auto"/>
        <w:bottom w:val="none" w:sz="0" w:space="0" w:color="auto"/>
        <w:right w:val="none" w:sz="0" w:space="0" w:color="auto"/>
      </w:divBdr>
    </w:div>
    <w:div w:id="897477904">
      <w:bodyDiv w:val="1"/>
      <w:marLeft w:val="0"/>
      <w:marRight w:val="0"/>
      <w:marTop w:val="0"/>
      <w:marBottom w:val="0"/>
      <w:divBdr>
        <w:top w:val="none" w:sz="0" w:space="0" w:color="auto"/>
        <w:left w:val="none" w:sz="0" w:space="0" w:color="auto"/>
        <w:bottom w:val="none" w:sz="0" w:space="0" w:color="auto"/>
        <w:right w:val="none" w:sz="0" w:space="0" w:color="auto"/>
      </w:divBdr>
    </w:div>
    <w:div w:id="1143348672">
      <w:bodyDiv w:val="1"/>
      <w:marLeft w:val="0"/>
      <w:marRight w:val="0"/>
      <w:marTop w:val="0"/>
      <w:marBottom w:val="0"/>
      <w:divBdr>
        <w:top w:val="none" w:sz="0" w:space="0" w:color="auto"/>
        <w:left w:val="none" w:sz="0" w:space="0" w:color="auto"/>
        <w:bottom w:val="none" w:sz="0" w:space="0" w:color="auto"/>
        <w:right w:val="none" w:sz="0" w:space="0" w:color="auto"/>
      </w:divBdr>
    </w:div>
    <w:div w:id="1214659023">
      <w:bodyDiv w:val="1"/>
      <w:marLeft w:val="0"/>
      <w:marRight w:val="0"/>
      <w:marTop w:val="0"/>
      <w:marBottom w:val="0"/>
      <w:divBdr>
        <w:top w:val="none" w:sz="0" w:space="0" w:color="auto"/>
        <w:left w:val="none" w:sz="0" w:space="0" w:color="auto"/>
        <w:bottom w:val="none" w:sz="0" w:space="0" w:color="auto"/>
        <w:right w:val="none" w:sz="0" w:space="0" w:color="auto"/>
      </w:divBdr>
    </w:div>
    <w:div w:id="1271202376">
      <w:bodyDiv w:val="1"/>
      <w:marLeft w:val="0"/>
      <w:marRight w:val="0"/>
      <w:marTop w:val="0"/>
      <w:marBottom w:val="0"/>
      <w:divBdr>
        <w:top w:val="none" w:sz="0" w:space="0" w:color="auto"/>
        <w:left w:val="none" w:sz="0" w:space="0" w:color="auto"/>
        <w:bottom w:val="none" w:sz="0" w:space="0" w:color="auto"/>
        <w:right w:val="none" w:sz="0" w:space="0" w:color="auto"/>
      </w:divBdr>
    </w:div>
    <w:div w:id="1402406495">
      <w:bodyDiv w:val="1"/>
      <w:marLeft w:val="0"/>
      <w:marRight w:val="0"/>
      <w:marTop w:val="0"/>
      <w:marBottom w:val="0"/>
      <w:divBdr>
        <w:top w:val="none" w:sz="0" w:space="0" w:color="auto"/>
        <w:left w:val="none" w:sz="0" w:space="0" w:color="auto"/>
        <w:bottom w:val="none" w:sz="0" w:space="0" w:color="auto"/>
        <w:right w:val="none" w:sz="0" w:space="0" w:color="auto"/>
      </w:divBdr>
    </w:div>
    <w:div w:id="1458377405">
      <w:bodyDiv w:val="1"/>
      <w:marLeft w:val="0"/>
      <w:marRight w:val="0"/>
      <w:marTop w:val="0"/>
      <w:marBottom w:val="0"/>
      <w:divBdr>
        <w:top w:val="none" w:sz="0" w:space="0" w:color="auto"/>
        <w:left w:val="none" w:sz="0" w:space="0" w:color="auto"/>
        <w:bottom w:val="none" w:sz="0" w:space="0" w:color="auto"/>
        <w:right w:val="none" w:sz="0" w:space="0" w:color="auto"/>
      </w:divBdr>
    </w:div>
    <w:div w:id="1788695675">
      <w:bodyDiv w:val="1"/>
      <w:marLeft w:val="0"/>
      <w:marRight w:val="0"/>
      <w:marTop w:val="0"/>
      <w:marBottom w:val="0"/>
      <w:divBdr>
        <w:top w:val="none" w:sz="0" w:space="0" w:color="auto"/>
        <w:left w:val="none" w:sz="0" w:space="0" w:color="auto"/>
        <w:bottom w:val="none" w:sz="0" w:space="0" w:color="auto"/>
        <w:right w:val="none" w:sz="0" w:space="0" w:color="auto"/>
      </w:divBdr>
    </w:div>
    <w:div w:id="1839805409">
      <w:bodyDiv w:val="1"/>
      <w:marLeft w:val="0"/>
      <w:marRight w:val="0"/>
      <w:marTop w:val="0"/>
      <w:marBottom w:val="0"/>
      <w:divBdr>
        <w:top w:val="none" w:sz="0" w:space="0" w:color="auto"/>
        <w:left w:val="none" w:sz="0" w:space="0" w:color="auto"/>
        <w:bottom w:val="none" w:sz="0" w:space="0" w:color="auto"/>
        <w:right w:val="none" w:sz="0" w:space="0" w:color="auto"/>
      </w:divBdr>
    </w:div>
    <w:div w:id="2011178339">
      <w:bodyDiv w:val="1"/>
      <w:marLeft w:val="0"/>
      <w:marRight w:val="0"/>
      <w:marTop w:val="0"/>
      <w:marBottom w:val="0"/>
      <w:divBdr>
        <w:top w:val="none" w:sz="0" w:space="0" w:color="auto"/>
        <w:left w:val="none" w:sz="0" w:space="0" w:color="auto"/>
        <w:bottom w:val="none" w:sz="0" w:space="0" w:color="auto"/>
        <w:right w:val="none" w:sz="0" w:space="0" w:color="auto"/>
      </w:divBdr>
    </w:div>
    <w:div w:id="2125999246">
      <w:bodyDiv w:val="1"/>
      <w:marLeft w:val="0"/>
      <w:marRight w:val="0"/>
      <w:marTop w:val="0"/>
      <w:marBottom w:val="0"/>
      <w:divBdr>
        <w:top w:val="none" w:sz="0" w:space="0" w:color="auto"/>
        <w:left w:val="none" w:sz="0" w:space="0" w:color="auto"/>
        <w:bottom w:val="none" w:sz="0" w:space="0" w:color="auto"/>
        <w:right w:val="none" w:sz="0" w:space="0" w:color="auto"/>
      </w:divBdr>
    </w:div>
    <w:div w:id="21379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dwell.oc2.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ndwell.gov.uk/downloads/file/3267/slp-reg-19-duty-to-co-operate-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hropshire.gov.uk/media/29185/id46-stage-2-hearings-holding-letter.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ropshire.gov.uk/planning-policy/local-planning/local-plan-review/draft-shropshire-local-plan-2016-2038-examination/examination-calenda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mailto:info@hbf.co.uk" TargetMode="External"/><Relationship Id="rId2" Type="http://schemas.openxmlformats.org/officeDocument/2006/relationships/hyperlink" Target="http://www.hbf.co.uk" TargetMode="External"/><Relationship Id="rId1" Type="http://schemas.openxmlformats.org/officeDocument/2006/relationships/hyperlink" Target="mailto:info@hbf.co.uk" TargetMode="External"/><Relationship Id="rId5" Type="http://schemas.openxmlformats.org/officeDocument/2006/relationships/image" Target="media/image4.jpeg"/><Relationship Id="rId4" Type="http://schemas.openxmlformats.org/officeDocument/2006/relationships/hyperlink" Target="http://www.hbf.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HBFThemePW2014STANDARD">
  <a:themeElements>
    <a:clrScheme name="HBF 2018 v2">
      <a:dk1>
        <a:srgbClr val="000000"/>
      </a:dk1>
      <a:lt1>
        <a:sysClr val="window" lastClr="FFFFFF"/>
      </a:lt1>
      <a:dk2>
        <a:srgbClr val="003144"/>
      </a:dk2>
      <a:lt2>
        <a:srgbClr val="E9F7FC"/>
      </a:lt2>
      <a:accent1>
        <a:srgbClr val="53AAB1"/>
      </a:accent1>
      <a:accent2>
        <a:srgbClr val="E85355"/>
      </a:accent2>
      <a:accent3>
        <a:srgbClr val="64AA7D"/>
      </a:accent3>
      <a:accent4>
        <a:srgbClr val="79547F"/>
      </a:accent4>
      <a:accent5>
        <a:srgbClr val="F17BB0"/>
      </a:accent5>
      <a:accent6>
        <a:srgbClr val="CEDA6C"/>
      </a:accent6>
      <a:hlink>
        <a:srgbClr val="FAB72C"/>
      </a:hlink>
      <a:folHlink>
        <a:srgbClr val="94D7F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ea typeface="ＭＳ Ｐゴシック"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ea typeface="ＭＳ Ｐゴシック" pitchFamily="1" charset="-128"/>
          </a:defRPr>
        </a:defPPr>
      </a:lstStyle>
    </a:ln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HBFThemePW2014STANDARD" id="{49333405-7C07-40CD-AF9D-D707E8790D85}" vid="{719F5C5A-144C-4770-8948-DEE0E95C2D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7563E702245D4DBC900486D19444B7" ma:contentTypeVersion="0" ma:contentTypeDescription="Create a new document." ma:contentTypeScope="" ma:versionID="028fc9e7f39bb65d977b4e20e98f5e3c">
  <xsd:schema xmlns:xsd="http://www.w3.org/2001/XMLSchema" xmlns:xs="http://www.w3.org/2001/XMLSchema" xmlns:p="http://schemas.microsoft.com/office/2006/metadata/properties" targetNamespace="http://schemas.microsoft.com/office/2006/metadata/properties" ma:root="true" ma:fieldsID="d9610c822f400ed20afeb341d0e1b0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5E131-CDEA-45BA-9C0F-99CB908FB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38CFA0-D8EC-4ADA-B5A7-BC11569F6C6F}">
  <ds:schemaRefs>
    <ds:schemaRef ds:uri="http://schemas.openxmlformats.org/officeDocument/2006/bibliography"/>
  </ds:schemaRefs>
</ds:datastoreItem>
</file>

<file path=customXml/itemProps3.xml><?xml version="1.0" encoding="utf-8"?>
<ds:datastoreItem xmlns:ds="http://schemas.openxmlformats.org/officeDocument/2006/customXml" ds:itemID="{5ED144F9-8327-4C16-A6F5-262D690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92C603-6E7E-43E1-A7BF-BC5D8CC20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9695</Words>
  <Characters>50402</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
    </vt:vector>
  </TitlesOfParts>
  <Company>Construction Confederation</Company>
  <LinksUpToDate>false</LinksUpToDate>
  <CharactersWithSpaces>59978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Behrendt</dc:creator>
  <cp:keywords/>
  <dc:description/>
  <cp:lastModifiedBy>Mark Watkins</cp:lastModifiedBy>
  <cp:revision>2</cp:revision>
  <cp:lastPrinted>2024-10-07T08:24:00Z</cp:lastPrinted>
  <dcterms:created xsi:type="dcterms:W3CDTF">2024-11-11T15:41:00Z</dcterms:created>
  <dcterms:modified xsi:type="dcterms:W3CDTF">2024-11-11T15:41:00Z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0x0101002F7563E702245D4DBC900486D19444B7</vt:lpwstr>
  </property>
  <property fmtid="{D5CDD505-2E9C-101B-9397-08002B2CF9AE}" pid="3" name="Order">
    <vt:r8>13359000</vt:r8>
  </property>
  <property fmtid="{D5CDD505-2E9C-101B-9397-08002B2CF9AE}" pid="4" name="MediaServiceImageTags">
    <vt:lpwstr/>
  </property>
</Properties>
</file>