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2B430" w14:textId="76E4EB37" w:rsidR="00BB7220" w:rsidRPr="004E2E76" w:rsidRDefault="004E2E76">
      <w:pPr>
        <w:rPr>
          <w:b/>
          <w:bCs/>
          <w:u w:val="single"/>
        </w:rPr>
      </w:pPr>
      <w:r w:rsidRPr="004E2E76">
        <w:rPr>
          <w:b/>
          <w:bCs/>
          <w:u w:val="single"/>
        </w:rPr>
        <w:t>Draft Regulation 18 Sandwell Local Plan consultation</w:t>
      </w:r>
    </w:p>
    <w:p w14:paraId="4720970A" w14:textId="191FB2E4" w:rsidR="004E2E76" w:rsidRPr="004E2E76" w:rsidRDefault="004E2E76">
      <w:pPr>
        <w:rPr>
          <w:b/>
          <w:bCs/>
          <w:u w:val="single"/>
        </w:rPr>
      </w:pPr>
      <w:r w:rsidRPr="004E2E76">
        <w:rPr>
          <w:b/>
          <w:bCs/>
          <w:u w:val="single"/>
        </w:rPr>
        <w:t>Joint Response for South Warwickshire – Stratford-on-Avon District Council and Warwick District Council</w:t>
      </w:r>
    </w:p>
    <w:p w14:paraId="701EA00E" w14:textId="48EC3022" w:rsidR="004E2E76" w:rsidRDefault="00812596">
      <w:hyperlink r:id="rId7" w:history="1">
        <w:r w:rsidR="005A07AF" w:rsidRPr="00870950">
          <w:rPr>
            <w:rStyle w:val="Hyperlink"/>
          </w:rPr>
          <w:t>https://www.sandwell.gov.uk/planning/sandwell-local-plan</w:t>
        </w:r>
      </w:hyperlink>
    </w:p>
    <w:p w14:paraId="625EEBCA" w14:textId="662AB8A8" w:rsidR="005A07AF" w:rsidRDefault="005A07AF">
      <w:r>
        <w:t>Consultation closing date: 5pm Monday 18</w:t>
      </w:r>
      <w:r w:rsidRPr="005A07AF">
        <w:rPr>
          <w:vertAlign w:val="superscript"/>
        </w:rPr>
        <w:t>th</w:t>
      </w:r>
      <w:r>
        <w:t xml:space="preserve"> December 2023</w:t>
      </w:r>
    </w:p>
    <w:p w14:paraId="5267EBFD" w14:textId="51DC44FF" w:rsidR="00B15705" w:rsidRDefault="00B15705" w:rsidP="00B15705">
      <w:r>
        <w:t>The responses provided below are a joint response from Stratford-on-Avon and Warwick District Councils. Officers from both Councils have had input into the content. Responses are focussed on those areas most likely to impact on the South Warwickshire authorities and the South Warwickshire Local Plan.</w:t>
      </w:r>
    </w:p>
    <w:p w14:paraId="27531687" w14:textId="77777777" w:rsidR="005A07AF" w:rsidRDefault="005A07AF"/>
    <w:p w14:paraId="62AAE61C" w14:textId="7318AD2B" w:rsidR="00665578" w:rsidRPr="00D22D44" w:rsidRDefault="00665578">
      <w:pPr>
        <w:rPr>
          <w:u w:val="single"/>
        </w:rPr>
      </w:pPr>
      <w:r w:rsidRPr="00D22D44">
        <w:rPr>
          <w:u w:val="single"/>
        </w:rPr>
        <w:t>3. Development Strategy</w:t>
      </w:r>
    </w:p>
    <w:p w14:paraId="14B83BD7" w14:textId="0D86E034" w:rsidR="00665578" w:rsidRDefault="00665578">
      <w:r>
        <w:t>3.12-3.19 Duty to Co-operate</w:t>
      </w:r>
    </w:p>
    <w:p w14:paraId="784BA91E" w14:textId="31427139" w:rsidR="00665578" w:rsidRDefault="00665578">
      <w:r>
        <w:t xml:space="preserve">It is recognised that Sandwell’s geography provides </w:t>
      </w:r>
      <w:proofErr w:type="gramStart"/>
      <w:r>
        <w:t>particular challenges</w:t>
      </w:r>
      <w:proofErr w:type="gramEnd"/>
      <w:r>
        <w:t xml:space="preserve"> as regards meeting identified housing and employment land needs within its own boundaries. The shortfalls identified are significant, and the impact on other authorities within the Housing Market Area are expected to be considerable. As a general principle, Sandwell Council is encouraged to fully explore all reasonable options </w:t>
      </w:r>
      <w:proofErr w:type="gramStart"/>
      <w:r>
        <w:t>in order to</w:t>
      </w:r>
      <w:proofErr w:type="gramEnd"/>
      <w:r>
        <w:t xml:space="preserve"> meet as much of its own identified need as possible.</w:t>
      </w:r>
    </w:p>
    <w:p w14:paraId="5B1D32FA" w14:textId="60B6393F" w:rsidR="00953D26" w:rsidRPr="00953D26" w:rsidRDefault="00953D26">
      <w:r w:rsidRPr="00953D26">
        <w:t xml:space="preserve">The South Warwickshire authorities note that any overspill of unmet housing or employment needs brings with it a need for additional infrastructure in the areas accommodating this overspill, </w:t>
      </w:r>
      <w:proofErr w:type="gramStart"/>
      <w:r w:rsidRPr="00953D26">
        <w:t>in order to</w:t>
      </w:r>
      <w:proofErr w:type="gramEnd"/>
      <w:r w:rsidRPr="00953D26">
        <w:t xml:space="preserve"> meet the needs of residents and businesses. As such, it is anticipated that any future considerations regarding accommodating overspill within the South Warwickshire area will also need to address these additional infrastructure needs.</w:t>
      </w:r>
    </w:p>
    <w:p w14:paraId="5CFE6568" w14:textId="26852E7C" w:rsidR="00665578" w:rsidRDefault="00665578"/>
    <w:p w14:paraId="5E550D82" w14:textId="6C1D354F" w:rsidR="00665578" w:rsidRDefault="00BF278A">
      <w:r>
        <w:t>3.77-3.85 Green Belt</w:t>
      </w:r>
    </w:p>
    <w:p w14:paraId="412FAE19" w14:textId="5A330BB9" w:rsidR="00BF278A" w:rsidRDefault="00BF278A">
      <w:r>
        <w:t>It is acknowledged that the Green Belt in Sandwell protects a relatively limited area of valuable open space within a heavily urbanised area. As such, it is agreed that it would not be appropriate to seek to release Green Belt land for development in Sandwell.</w:t>
      </w:r>
    </w:p>
    <w:p w14:paraId="7C183F70" w14:textId="7355921E" w:rsidR="00BF278A" w:rsidRDefault="00BF278A"/>
    <w:p w14:paraId="34D387E7" w14:textId="055B2A0F" w:rsidR="00BF278A" w:rsidRPr="00D22D44" w:rsidRDefault="00BF278A">
      <w:pPr>
        <w:rPr>
          <w:u w:val="single"/>
        </w:rPr>
      </w:pPr>
      <w:r w:rsidRPr="00D22D44">
        <w:rPr>
          <w:u w:val="single"/>
        </w:rPr>
        <w:t>7. Sandwell’s Housing</w:t>
      </w:r>
    </w:p>
    <w:p w14:paraId="560592A6" w14:textId="3C80340E" w:rsidR="00173B6B" w:rsidRDefault="00D22D44">
      <w:r>
        <w:t>7.12-7.13 Windfall Development</w:t>
      </w:r>
    </w:p>
    <w:p w14:paraId="199FDEE5" w14:textId="32AD0B75" w:rsidR="00D22D44" w:rsidRDefault="003D7318">
      <w:r>
        <w:t xml:space="preserve">Given the shortfall in housing sites for allocation, Sandwell Council should act to maximise </w:t>
      </w:r>
      <w:r w:rsidR="003813CB">
        <w:t xml:space="preserve">the amount of new housing that can come forward on windfall sites, </w:t>
      </w:r>
      <w:proofErr w:type="gramStart"/>
      <w:r w:rsidR="003813CB">
        <w:t>and in particular, on</w:t>
      </w:r>
      <w:proofErr w:type="gramEnd"/>
      <w:r w:rsidR="003813CB">
        <w:t xml:space="preserve"> </w:t>
      </w:r>
      <w:r w:rsidR="00DD5179">
        <w:t xml:space="preserve">existing residential sites. This could be through the development of design codes which set out ways </w:t>
      </w:r>
      <w:r w:rsidR="00ED2A59">
        <w:t xml:space="preserve">to appropriately densify existing residential areas, for example through infill, additional storeys, </w:t>
      </w:r>
      <w:r w:rsidR="001D3314">
        <w:t>sub-division, or replacement dwellings.</w:t>
      </w:r>
    </w:p>
    <w:p w14:paraId="3B48B47E" w14:textId="77777777" w:rsidR="003D7318" w:rsidRDefault="003D7318"/>
    <w:p w14:paraId="15692831" w14:textId="0EAB63FC" w:rsidR="00BF278A" w:rsidRDefault="00BF278A">
      <w:r>
        <w:t>7.14-7.22 Housing Density, Type and Accessibility</w:t>
      </w:r>
    </w:p>
    <w:p w14:paraId="6027676D" w14:textId="38A68B66" w:rsidR="00BF278A" w:rsidRDefault="00BF278A">
      <w:r>
        <w:lastRenderedPageBreak/>
        <w:t>The principle of establishing minimum densities for new housing, based on location and proximity to services and public transport, is supported. However, it is suggested that the baseline densities</w:t>
      </w:r>
      <w:r w:rsidR="004939BE">
        <w:t xml:space="preserve"> are in some cases inappropriately low, given the existing development pattern. It would be expected that many of Sandwell’s historic Victorian terraces would have densities </w:t>
      </w:r>
      <w:r w:rsidR="00EF176C">
        <w:t xml:space="preserve">well </w:t>
      </w:r>
      <w:proofErr w:type="gramStart"/>
      <w:r w:rsidR="004939BE">
        <w:t>in excess of</w:t>
      </w:r>
      <w:proofErr w:type="gramEnd"/>
      <w:r w:rsidR="004939BE">
        <w:t xml:space="preserve"> 40 dph, which demonstrates that family housing</w:t>
      </w:r>
      <w:r w:rsidR="002B2956">
        <w:t xml:space="preserve"> can be successfully accommodated while optimising densities</w:t>
      </w:r>
      <w:r w:rsidR="004939BE">
        <w:t>.</w:t>
      </w:r>
    </w:p>
    <w:p w14:paraId="72641E81" w14:textId="77C6A872" w:rsidR="004939BE" w:rsidRDefault="004939BE">
      <w:r>
        <w:t xml:space="preserve">It is also anticipated that calculating </w:t>
      </w:r>
      <w:r w:rsidR="00EF176C">
        <w:t>the</w:t>
      </w:r>
      <w:r>
        <w:t xml:space="preserve"> appropriate density </w:t>
      </w:r>
      <w:r w:rsidR="00EF176C">
        <w:t xml:space="preserve">for an application site </w:t>
      </w:r>
      <w:r>
        <w:t xml:space="preserve">could be complicated and subject to challenge from applicants. There is potential ambiguity existing around whether a particular facility should be used to determine accessibility, </w:t>
      </w:r>
      <w:r w:rsidR="00EF176C">
        <w:t xml:space="preserve">what mode of transport to use, </w:t>
      </w:r>
      <w:r>
        <w:t xml:space="preserve">and what distances could be reasonably covered by </w:t>
      </w:r>
      <w:r w:rsidR="00EF176C">
        <w:t>that</w:t>
      </w:r>
      <w:r>
        <w:t xml:space="preserve"> mode of transport. It would be clearer </w:t>
      </w:r>
      <w:r w:rsidR="00EF176C">
        <w:t xml:space="preserve">and simpler </w:t>
      </w:r>
      <w:r>
        <w:t>if the Council included on its policies map zones where different minimum densities would apply.</w:t>
      </w:r>
      <w:r w:rsidR="00D46B2D">
        <w:t xml:space="preserve"> For </w:t>
      </w:r>
      <w:proofErr w:type="gramStart"/>
      <w:r w:rsidR="00D46B2D">
        <w:t>example</w:t>
      </w:r>
      <w:proofErr w:type="gramEnd"/>
      <w:r w:rsidR="00D46B2D">
        <w:t xml:space="preserve"> using buffer distances from </w:t>
      </w:r>
      <w:r w:rsidR="00985A5A">
        <w:t>public transport and town centres.</w:t>
      </w:r>
    </w:p>
    <w:p w14:paraId="252F6078" w14:textId="77777777" w:rsidR="004939BE" w:rsidRDefault="004939BE"/>
    <w:p w14:paraId="34435DEC" w14:textId="18C4855F" w:rsidR="00BF278A" w:rsidRPr="00D22D44" w:rsidRDefault="00EF176C">
      <w:pPr>
        <w:rPr>
          <w:u w:val="single"/>
        </w:rPr>
      </w:pPr>
      <w:r w:rsidRPr="00D22D44">
        <w:rPr>
          <w:u w:val="single"/>
        </w:rPr>
        <w:t>8. Sandwell’s Economy</w:t>
      </w:r>
    </w:p>
    <w:p w14:paraId="463D561E" w14:textId="5160878F" w:rsidR="00EF176C" w:rsidRDefault="00EF176C">
      <w:r>
        <w:t>8.7-8.11 Providing for Economic Growth and Jobs</w:t>
      </w:r>
    </w:p>
    <w:p w14:paraId="7F3D5615" w14:textId="2A4C6731" w:rsidR="00EF176C" w:rsidRDefault="00EF176C">
      <w:r>
        <w:t xml:space="preserve">Given the shortfall in available employment land, Sandwell Council is encouraged to ensure that efficient use is made of the land that is available. While </w:t>
      </w:r>
      <w:r w:rsidR="00007E5E">
        <w:t>it</w:t>
      </w:r>
      <w:r>
        <w:t xml:space="preserve"> </w:t>
      </w:r>
      <w:r w:rsidR="00007E5E">
        <w:t>may not be possible to require a minimum density as happens with hous</w:t>
      </w:r>
      <w:r>
        <w:t xml:space="preserve">ing land, </w:t>
      </w:r>
      <w:r w:rsidR="00007E5E">
        <w:t>there may be other ways to maximise the economic benefit from employment land.</w:t>
      </w:r>
    </w:p>
    <w:p w14:paraId="62BCB964" w14:textId="77777777" w:rsidR="00007E5E" w:rsidRDefault="00007E5E"/>
    <w:sectPr w:rsidR="00007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76"/>
    <w:rsid w:val="00007E5E"/>
    <w:rsid w:val="00173B6B"/>
    <w:rsid w:val="001D3314"/>
    <w:rsid w:val="002B2956"/>
    <w:rsid w:val="002C4E5A"/>
    <w:rsid w:val="003813CB"/>
    <w:rsid w:val="003D7318"/>
    <w:rsid w:val="004939BE"/>
    <w:rsid w:val="004E2E76"/>
    <w:rsid w:val="00586E0C"/>
    <w:rsid w:val="005A07AF"/>
    <w:rsid w:val="00665578"/>
    <w:rsid w:val="00812596"/>
    <w:rsid w:val="00953D26"/>
    <w:rsid w:val="00985A5A"/>
    <w:rsid w:val="00B15705"/>
    <w:rsid w:val="00BB7220"/>
    <w:rsid w:val="00BF278A"/>
    <w:rsid w:val="00C96E82"/>
    <w:rsid w:val="00D22D44"/>
    <w:rsid w:val="00D46B2D"/>
    <w:rsid w:val="00DD5179"/>
    <w:rsid w:val="00ED2A59"/>
    <w:rsid w:val="00EF176C"/>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5597"/>
  <w15:chartTrackingRefBased/>
  <w15:docId w15:val="{037D8372-2495-4E7B-9142-3D560A4E5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07AF"/>
    <w:rPr>
      <w:color w:val="0563C1" w:themeColor="hyperlink"/>
      <w:u w:val="single"/>
    </w:rPr>
  </w:style>
  <w:style w:type="character" w:styleId="UnresolvedMention">
    <w:name w:val="Unresolved Mention"/>
    <w:basedOn w:val="DefaultParagraphFont"/>
    <w:uiPriority w:val="99"/>
    <w:semiHidden/>
    <w:unhideWhenUsed/>
    <w:rsid w:val="005A0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sandwell.gov.uk/planning/sandwell-local-pla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987b5a-735a-493d-9b96-43053369da55">
      <Terms xmlns="http://schemas.microsoft.com/office/infopath/2007/PartnerControls"/>
    </lcf76f155ced4ddcb4097134ff3c332f>
    <TaxCatchAll xmlns="2f900f5a-70f7-4bde-ace1-8cb48f068e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487D8E9B26DD44BD31E9B322495565" ma:contentTypeVersion="15" ma:contentTypeDescription="Create a new document." ma:contentTypeScope="" ma:versionID="d9b2b49a48a732c54dfa87868d204280">
  <xsd:schema xmlns:xsd="http://www.w3.org/2001/XMLSchema" xmlns:xs="http://www.w3.org/2001/XMLSchema" xmlns:p="http://schemas.microsoft.com/office/2006/metadata/properties" xmlns:ns2="55987b5a-735a-493d-9b96-43053369da55" xmlns:ns3="2f900f5a-70f7-4bde-ace1-8cb48f068ebe" targetNamespace="http://schemas.microsoft.com/office/2006/metadata/properties" ma:root="true" ma:fieldsID="57a9e3831d6eda03a50cd7f5d0a952fc" ns2:_="" ns3:_="">
    <xsd:import namespace="55987b5a-735a-493d-9b96-43053369da55"/>
    <xsd:import namespace="2f900f5a-70f7-4bde-ace1-8cb48f0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87b5a-735a-493d-9b96-43053369da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3e2137e-0d97-4c97-ad1d-8cd7a40b0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900f5a-70f7-4bde-ace1-8cb48f068eb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f817282-0c11-4357-b219-a1dce52e9488}" ma:internalName="TaxCatchAll" ma:showField="CatchAllData" ma:web="2f900f5a-70f7-4bde-ace1-8cb48f0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6C45C-F083-4088-94C9-6B51FB2E7D34}">
  <ds:schemaRefs>
    <ds:schemaRef ds:uri="http://schemas.microsoft.com/sharepoint/v3/contenttype/forms"/>
  </ds:schemaRefs>
</ds:datastoreItem>
</file>

<file path=customXml/itemProps2.xml><?xml version="1.0" encoding="utf-8"?>
<ds:datastoreItem xmlns:ds="http://schemas.openxmlformats.org/officeDocument/2006/customXml" ds:itemID="{11160342-9305-45B4-AA86-ED3BE7B4835B}">
  <ds:schemaRefs>
    <ds:schemaRef ds:uri="http://schemas.microsoft.com/office/2006/metadata/properties"/>
    <ds:schemaRef ds:uri="http://schemas.microsoft.com/office/infopath/2007/PartnerControls"/>
    <ds:schemaRef ds:uri="55987b5a-735a-493d-9b96-43053369da55"/>
    <ds:schemaRef ds:uri="2f900f5a-70f7-4bde-ace1-8cb48f068ebe"/>
  </ds:schemaRefs>
</ds:datastoreItem>
</file>

<file path=customXml/itemProps3.xml><?xml version="1.0" encoding="utf-8"?>
<ds:datastoreItem xmlns:ds="http://schemas.openxmlformats.org/officeDocument/2006/customXml" ds:itemID="{690921C7-C0AB-43E6-80F5-66B4C8B6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87b5a-735a-493d-9b96-43053369da55"/>
    <ds:schemaRef ds:uri="2f900f5a-70f7-4bde-ace1-8cb48f0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Stratford on Avon District Council</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Brown</dc:creator>
  <cp:keywords/>
  <dc:description/>
  <cp:lastModifiedBy>Mark Watkins</cp:lastModifiedBy>
  <cp:revision>2</cp:revision>
  <dcterms:created xsi:type="dcterms:W3CDTF">2024-01-11T13:14:00Z</dcterms:created>
  <dcterms:modified xsi:type="dcterms:W3CDTF">2024-01-11T13:14:00Z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0x01010013487D8E9B26DD44BD31E9B322495565</vt:lpwstr>
  </property>
</Properties>
</file>