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1C09" w14:textId="77777777" w:rsidR="00962FA1" w:rsidRPr="00522841" w:rsidRDefault="00962FA1" w:rsidP="004175A3">
      <w:pPr>
        <w:spacing w:before="100" w:beforeAutospacing="1" w:after="100" w:afterAutospacing="1"/>
        <w:rPr>
          <w:rFonts w:ascii="Trebuchet MS" w:hAnsi="Trebuchet MS" w:cs="Arial"/>
          <w:i/>
          <w:iCs/>
          <w:sz w:val="24"/>
          <w:szCs w:val="24"/>
        </w:rPr>
      </w:pPr>
      <w:r w:rsidRPr="00522841">
        <w:rPr>
          <w:rFonts w:ascii="Trebuchet MS" w:hAnsi="Trebuchet MS" w:cs="Arial"/>
          <w:i/>
          <w:iCs/>
          <w:sz w:val="24"/>
          <w:szCs w:val="24"/>
        </w:rPr>
        <w:softHyphen/>
      </w:r>
      <w:r w:rsidRPr="00522841">
        <w:rPr>
          <w:rFonts w:ascii="Trebuchet MS" w:hAnsi="Trebuchet MS" w:cs="Arial"/>
          <w:i/>
          <w:iCs/>
          <w:sz w:val="24"/>
          <w:szCs w:val="24"/>
        </w:rPr>
        <w:softHyphen/>
      </w:r>
      <w:r w:rsidRPr="00522841">
        <w:rPr>
          <w:rFonts w:ascii="Trebuchet MS" w:hAnsi="Trebuchet MS" w:cs="Arial"/>
          <w:i/>
          <w:iCs/>
          <w:sz w:val="24"/>
          <w:szCs w:val="24"/>
        </w:rPr>
        <w:softHyphen/>
      </w:r>
      <w:r w:rsidRPr="00522841">
        <w:rPr>
          <w:rFonts w:ascii="Trebuchet MS" w:hAnsi="Trebuchet MS" w:cs="Arial"/>
          <w:i/>
          <w:iCs/>
          <w:sz w:val="24"/>
          <w:szCs w:val="24"/>
        </w:rPr>
        <w:softHyphen/>
      </w:r>
      <w:r w:rsidRPr="00522841">
        <w:rPr>
          <w:rFonts w:ascii="Trebuchet MS" w:hAnsi="Trebuchet MS" w:cs="Arial"/>
          <w:i/>
          <w:iCs/>
          <w:sz w:val="24"/>
          <w:szCs w:val="24"/>
        </w:rPr>
        <w:softHyphen/>
      </w:r>
      <w:r w:rsidRPr="00522841">
        <w:rPr>
          <w:rFonts w:ascii="Trebuchet MS" w:hAnsi="Trebuchet MS" w:cs="Arial"/>
          <w:i/>
          <w:iCs/>
          <w:sz w:val="24"/>
          <w:szCs w:val="24"/>
        </w:rPr>
        <w:softHyphen/>
      </w:r>
      <w:r w:rsidRPr="00522841">
        <w:rPr>
          <w:rFonts w:ascii="Trebuchet MS" w:hAnsi="Trebuchet MS" w:cs="Arial"/>
          <w:i/>
          <w:iCs/>
          <w:sz w:val="24"/>
          <w:szCs w:val="24"/>
        </w:rPr>
        <w:softHyphen/>
      </w:r>
      <w:r w:rsidRPr="00522841">
        <w:rPr>
          <w:rFonts w:ascii="Trebuchet MS" w:hAnsi="Trebuchet MS" w:cs="Arial"/>
          <w:i/>
          <w:iCs/>
          <w:sz w:val="24"/>
          <w:szCs w:val="24"/>
        </w:rPr>
        <w:softHyphen/>
      </w:r>
      <w:r w:rsidRPr="00522841">
        <w:rPr>
          <w:rFonts w:ascii="Trebuchet MS" w:hAnsi="Trebuchet MS" w:cs="Arial"/>
          <w:i/>
          <w:iCs/>
          <w:sz w:val="24"/>
          <w:szCs w:val="24"/>
        </w:rPr>
        <w:softHyphen/>
      </w:r>
      <w:r w:rsidR="00A13383">
        <w:rPr>
          <w:rFonts w:ascii="Trebuchet MS" w:hAnsi="Trebuchet MS" w:cs="Arial"/>
          <w:i/>
          <w:iCs/>
          <w:noProof/>
          <w:sz w:val="24"/>
          <w:szCs w:val="24"/>
          <w:lang w:val="en-GB"/>
        </w:rPr>
        <w:drawing>
          <wp:inline distT="0" distB="0" distL="0" distR="0" wp14:anchorId="54C011B8" wp14:editId="1198D864">
            <wp:extent cx="3026072" cy="657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042286" cy="660746"/>
                    </a:xfrm>
                    <a:prstGeom prst="rect">
                      <a:avLst/>
                    </a:prstGeom>
                    <a:noFill/>
                    <a:ln w="9525">
                      <a:noFill/>
                      <a:miter lim="800000"/>
                      <a:headEnd/>
                      <a:tailEnd/>
                    </a:ln>
                  </pic:spPr>
                </pic:pic>
              </a:graphicData>
            </a:graphic>
          </wp:inline>
        </w:drawing>
      </w:r>
    </w:p>
    <w:p w14:paraId="709C633A" w14:textId="77777777" w:rsidR="00A13383" w:rsidRDefault="00A13383" w:rsidP="004175A3">
      <w:pPr>
        <w:spacing w:before="100" w:beforeAutospacing="1" w:after="100" w:afterAutospacing="1"/>
        <w:rPr>
          <w:rFonts w:ascii="Trebuchet MS" w:hAnsi="Trebuchet MS"/>
          <w:sz w:val="24"/>
          <w:szCs w:val="24"/>
        </w:rPr>
      </w:pPr>
    </w:p>
    <w:p w14:paraId="65D7A5EB" w14:textId="0D1448D5" w:rsidR="00BD5E95" w:rsidRPr="00A10986" w:rsidRDefault="007F2BF6" w:rsidP="00A13383">
      <w:pPr>
        <w:spacing w:before="100" w:beforeAutospacing="1" w:after="100" w:afterAutospacing="1"/>
        <w:jc w:val="center"/>
        <w:rPr>
          <w:rFonts w:ascii="Trebuchet MS" w:hAnsi="Trebuchet MS"/>
          <w:b/>
          <w:bCs/>
          <w:sz w:val="32"/>
          <w:szCs w:val="32"/>
        </w:rPr>
      </w:pPr>
      <w:r>
        <w:rPr>
          <w:rFonts w:ascii="Trebuchet MS" w:hAnsi="Trebuchet MS"/>
          <w:b/>
          <w:bCs/>
          <w:sz w:val="32"/>
          <w:szCs w:val="32"/>
        </w:rPr>
        <w:t xml:space="preserve">Sandwell </w:t>
      </w:r>
      <w:r w:rsidR="00A13383" w:rsidRPr="00A10986">
        <w:rPr>
          <w:rFonts w:ascii="Trebuchet MS" w:hAnsi="Trebuchet MS"/>
          <w:b/>
          <w:bCs/>
          <w:sz w:val="32"/>
          <w:szCs w:val="32"/>
        </w:rPr>
        <w:t>Plan</w:t>
      </w:r>
      <w:r>
        <w:rPr>
          <w:rFonts w:ascii="Trebuchet MS" w:hAnsi="Trebuchet MS"/>
          <w:b/>
          <w:bCs/>
          <w:sz w:val="32"/>
          <w:szCs w:val="32"/>
        </w:rPr>
        <w:t xml:space="preserve"> (Regulation 18)</w:t>
      </w:r>
    </w:p>
    <w:p w14:paraId="6A1CD3A4" w14:textId="527D31E5" w:rsidR="007F2BF6" w:rsidRDefault="007F2BF6" w:rsidP="00A13383">
      <w:pPr>
        <w:spacing w:before="100" w:beforeAutospacing="1" w:after="100" w:afterAutospacing="1"/>
        <w:jc w:val="center"/>
        <w:rPr>
          <w:rFonts w:ascii="Trebuchet MS" w:hAnsi="Trebuchet MS"/>
          <w:b/>
          <w:bCs/>
          <w:sz w:val="32"/>
          <w:szCs w:val="32"/>
        </w:rPr>
      </w:pPr>
      <w:r>
        <w:rPr>
          <w:rFonts w:ascii="Trebuchet MS" w:hAnsi="Trebuchet MS"/>
          <w:b/>
          <w:bCs/>
          <w:sz w:val="32"/>
          <w:szCs w:val="32"/>
        </w:rPr>
        <w:t>Housing Need and Supply</w:t>
      </w:r>
    </w:p>
    <w:p w14:paraId="6696E7BE" w14:textId="67A96F39" w:rsidR="00962FA1" w:rsidRPr="00A10986" w:rsidRDefault="00FC4179" w:rsidP="00A13383">
      <w:pPr>
        <w:spacing w:before="100" w:beforeAutospacing="1" w:after="100" w:afterAutospacing="1"/>
        <w:jc w:val="center"/>
        <w:rPr>
          <w:rFonts w:ascii="Trebuchet MS" w:hAnsi="Trebuchet MS" w:cs="Arial"/>
          <w:b/>
          <w:i/>
          <w:iCs/>
          <w:sz w:val="32"/>
          <w:szCs w:val="32"/>
        </w:rPr>
      </w:pPr>
      <w:r w:rsidRPr="00A10986">
        <w:rPr>
          <w:rFonts w:ascii="Trebuchet MS" w:hAnsi="Trebuchet MS" w:cs="Arial"/>
          <w:b/>
          <w:iCs/>
          <w:sz w:val="32"/>
          <w:szCs w:val="32"/>
        </w:rPr>
        <w:t>Report to</w:t>
      </w:r>
      <w:r w:rsidR="00A13383" w:rsidRPr="00A10986">
        <w:rPr>
          <w:rFonts w:ascii="Trebuchet MS" w:hAnsi="Trebuchet MS" w:cs="Arial"/>
          <w:b/>
          <w:iCs/>
          <w:sz w:val="32"/>
          <w:szCs w:val="32"/>
        </w:rPr>
        <w:t xml:space="preserve"> CPRE West Midlands </w:t>
      </w:r>
      <w:r w:rsidRPr="00A10986">
        <w:rPr>
          <w:rFonts w:ascii="Trebuchet MS" w:hAnsi="Trebuchet MS" w:cs="Arial"/>
          <w:b/>
          <w:iCs/>
          <w:sz w:val="32"/>
          <w:szCs w:val="32"/>
        </w:rPr>
        <w:t>R</w:t>
      </w:r>
      <w:r w:rsidR="00A13383" w:rsidRPr="00A10986">
        <w:rPr>
          <w:rFonts w:ascii="Trebuchet MS" w:hAnsi="Trebuchet MS" w:cs="Arial"/>
          <w:b/>
          <w:iCs/>
          <w:sz w:val="32"/>
          <w:szCs w:val="32"/>
        </w:rPr>
        <w:t xml:space="preserve">egion by </w:t>
      </w:r>
      <w:r w:rsidR="00962FA1" w:rsidRPr="00A10986">
        <w:rPr>
          <w:rFonts w:ascii="Trebuchet MS" w:hAnsi="Trebuchet MS" w:cs="Arial"/>
          <w:b/>
          <w:i/>
          <w:iCs/>
          <w:sz w:val="32"/>
          <w:szCs w:val="32"/>
        </w:rPr>
        <w:softHyphen/>
      </w:r>
      <w:r w:rsidR="00962FA1" w:rsidRPr="00A10986">
        <w:rPr>
          <w:rFonts w:ascii="Trebuchet MS" w:hAnsi="Trebuchet MS" w:cs="Arial"/>
          <w:b/>
          <w:i/>
          <w:iCs/>
          <w:sz w:val="32"/>
          <w:szCs w:val="32"/>
        </w:rPr>
        <w:softHyphen/>
      </w:r>
      <w:r w:rsidR="00962FA1" w:rsidRPr="00A10986">
        <w:rPr>
          <w:rFonts w:ascii="Trebuchet MS" w:hAnsi="Trebuchet MS" w:cs="Arial"/>
          <w:b/>
          <w:i/>
          <w:iCs/>
          <w:sz w:val="32"/>
          <w:szCs w:val="32"/>
        </w:rPr>
        <w:softHyphen/>
      </w:r>
      <w:r w:rsidR="00962FA1" w:rsidRPr="00A10986">
        <w:rPr>
          <w:rFonts w:ascii="Trebuchet MS" w:hAnsi="Trebuchet MS" w:cs="Arial"/>
          <w:b/>
          <w:i/>
          <w:iCs/>
          <w:sz w:val="32"/>
          <w:szCs w:val="32"/>
        </w:rPr>
        <w:softHyphen/>
      </w:r>
      <w:r w:rsidR="00962FA1" w:rsidRPr="00A10986">
        <w:rPr>
          <w:rFonts w:ascii="Trebuchet MS" w:hAnsi="Trebuchet MS" w:cs="Arial"/>
          <w:b/>
          <w:i/>
          <w:iCs/>
          <w:sz w:val="32"/>
          <w:szCs w:val="32"/>
        </w:rPr>
        <w:softHyphen/>
      </w:r>
      <w:r w:rsidR="00962FA1" w:rsidRPr="00A10986">
        <w:rPr>
          <w:rFonts w:ascii="Trebuchet MS" w:hAnsi="Trebuchet MS" w:cs="Arial"/>
          <w:b/>
          <w:i/>
          <w:iCs/>
          <w:sz w:val="32"/>
          <w:szCs w:val="32"/>
        </w:rPr>
        <w:softHyphen/>
      </w:r>
      <w:r w:rsidR="00962FA1" w:rsidRPr="00A10986">
        <w:rPr>
          <w:rFonts w:ascii="Trebuchet MS" w:hAnsi="Trebuchet MS" w:cs="Arial"/>
          <w:b/>
          <w:i/>
          <w:iCs/>
          <w:sz w:val="32"/>
          <w:szCs w:val="32"/>
        </w:rPr>
        <w:softHyphen/>
        <w:t>Gerald Kells</w:t>
      </w:r>
    </w:p>
    <w:p w14:paraId="464541FC" w14:textId="28490EB0" w:rsidR="00874766" w:rsidRPr="00A10986" w:rsidRDefault="007F2BF6" w:rsidP="00A13383">
      <w:pPr>
        <w:spacing w:before="100" w:beforeAutospacing="1"/>
        <w:jc w:val="center"/>
        <w:rPr>
          <w:rFonts w:ascii="Trebuchet MS" w:hAnsi="Trebuchet MS" w:cs="Arial"/>
          <w:b/>
          <w:i/>
          <w:iCs/>
          <w:sz w:val="32"/>
          <w:szCs w:val="32"/>
        </w:rPr>
      </w:pPr>
      <w:r>
        <w:rPr>
          <w:rFonts w:ascii="Trebuchet MS" w:hAnsi="Trebuchet MS" w:cs="Arial"/>
          <w:b/>
          <w:sz w:val="32"/>
          <w:szCs w:val="32"/>
        </w:rPr>
        <w:t>December 2023</w:t>
      </w:r>
    </w:p>
    <w:p w14:paraId="6A0131D8" w14:textId="77777777" w:rsidR="00942337" w:rsidRDefault="00942337" w:rsidP="004175A3">
      <w:pPr>
        <w:spacing w:before="100" w:beforeAutospacing="1" w:after="100" w:afterAutospacing="1"/>
        <w:rPr>
          <w:rFonts w:ascii="Trebuchet MS" w:hAnsi="Trebuchet MS" w:cs="Arial"/>
          <w:b/>
          <w:bCs/>
          <w:iCs/>
          <w:sz w:val="24"/>
          <w:szCs w:val="24"/>
        </w:rPr>
      </w:pPr>
    </w:p>
    <w:p w14:paraId="4AE20861" w14:textId="77777777" w:rsidR="00522841" w:rsidRDefault="00BD5E95" w:rsidP="00226AA7">
      <w:pPr>
        <w:numPr>
          <w:ilvl w:val="0"/>
          <w:numId w:val="19"/>
        </w:numPr>
        <w:spacing w:before="100" w:beforeAutospacing="1" w:after="100" w:afterAutospacing="1"/>
        <w:jc w:val="both"/>
        <w:rPr>
          <w:rFonts w:ascii="Trebuchet MS" w:hAnsi="Trebuchet MS" w:cs="Arial"/>
          <w:b/>
          <w:bCs/>
          <w:iCs/>
          <w:sz w:val="24"/>
          <w:szCs w:val="24"/>
        </w:rPr>
      </w:pPr>
      <w:r w:rsidRPr="00B073D7">
        <w:rPr>
          <w:rFonts w:ascii="Trebuchet MS" w:hAnsi="Trebuchet MS" w:cs="Arial"/>
          <w:b/>
          <w:bCs/>
          <w:iCs/>
          <w:sz w:val="24"/>
          <w:szCs w:val="24"/>
        </w:rPr>
        <w:t>Int</w:t>
      </w:r>
      <w:r>
        <w:rPr>
          <w:rFonts w:ascii="Trebuchet MS" w:hAnsi="Trebuchet MS" w:cs="Arial"/>
          <w:b/>
          <w:bCs/>
          <w:iCs/>
          <w:sz w:val="24"/>
          <w:szCs w:val="24"/>
        </w:rPr>
        <w:t>r</w:t>
      </w:r>
      <w:r w:rsidRPr="00B073D7">
        <w:rPr>
          <w:rFonts w:ascii="Trebuchet MS" w:hAnsi="Trebuchet MS" w:cs="Arial"/>
          <w:b/>
          <w:bCs/>
          <w:iCs/>
          <w:sz w:val="24"/>
          <w:szCs w:val="24"/>
        </w:rPr>
        <w:t>oduction</w:t>
      </w:r>
    </w:p>
    <w:p w14:paraId="5C685411" w14:textId="77777777" w:rsidR="00A82B54" w:rsidRPr="00B073D7" w:rsidRDefault="00A82B54" w:rsidP="00226AA7">
      <w:pPr>
        <w:spacing w:before="100" w:beforeAutospacing="1" w:after="100" w:afterAutospacing="1"/>
        <w:ind w:left="720"/>
        <w:jc w:val="both"/>
        <w:rPr>
          <w:rFonts w:ascii="Trebuchet MS" w:hAnsi="Trebuchet MS" w:cs="Arial"/>
          <w:b/>
          <w:bCs/>
          <w:iCs/>
          <w:sz w:val="24"/>
          <w:szCs w:val="24"/>
        </w:rPr>
      </w:pPr>
    </w:p>
    <w:p w14:paraId="7C12E674" w14:textId="50C8A530" w:rsidR="00242F44" w:rsidRDefault="00482EA5" w:rsidP="007F2BF6">
      <w:pPr>
        <w:spacing w:before="100" w:beforeAutospacing="1" w:after="100" w:afterAutospacing="1"/>
        <w:ind w:hanging="1"/>
        <w:jc w:val="both"/>
        <w:rPr>
          <w:rFonts w:ascii="Trebuchet MS" w:hAnsi="Trebuchet MS"/>
          <w:sz w:val="24"/>
          <w:szCs w:val="24"/>
        </w:rPr>
      </w:pPr>
      <w:bookmarkStart w:id="0" w:name="_1.0__Introduction_2"/>
      <w:bookmarkEnd w:id="0"/>
      <w:r>
        <w:rPr>
          <w:rFonts w:ascii="Trebuchet MS" w:hAnsi="Trebuchet MS"/>
          <w:sz w:val="24"/>
          <w:szCs w:val="24"/>
        </w:rPr>
        <w:t xml:space="preserve">1.1 </w:t>
      </w:r>
      <w:r w:rsidR="004805D2">
        <w:rPr>
          <w:rFonts w:ascii="Trebuchet MS" w:hAnsi="Trebuchet MS"/>
          <w:sz w:val="24"/>
          <w:szCs w:val="24"/>
        </w:rPr>
        <w:t>I</w:t>
      </w:r>
      <w:r w:rsidR="00242F44">
        <w:rPr>
          <w:rFonts w:ascii="Trebuchet MS" w:hAnsi="Trebuchet MS"/>
          <w:sz w:val="24"/>
          <w:szCs w:val="24"/>
        </w:rPr>
        <w:t>n March</w:t>
      </w:r>
      <w:r w:rsidR="00F35610">
        <w:rPr>
          <w:rFonts w:ascii="Trebuchet MS" w:hAnsi="Trebuchet MS"/>
          <w:sz w:val="24"/>
          <w:szCs w:val="24"/>
        </w:rPr>
        <w:t xml:space="preserve"> </w:t>
      </w:r>
      <w:r w:rsidR="00242F44">
        <w:rPr>
          <w:rFonts w:ascii="Trebuchet MS" w:hAnsi="Trebuchet MS"/>
          <w:sz w:val="24"/>
          <w:szCs w:val="24"/>
        </w:rPr>
        <w:t>2020 I</w:t>
      </w:r>
      <w:r w:rsidR="004805D2">
        <w:rPr>
          <w:rFonts w:ascii="Trebuchet MS" w:hAnsi="Trebuchet MS"/>
          <w:sz w:val="24"/>
          <w:szCs w:val="24"/>
        </w:rPr>
        <w:t xml:space="preserve"> review</w:t>
      </w:r>
      <w:r w:rsidR="00242F44">
        <w:rPr>
          <w:rFonts w:ascii="Trebuchet MS" w:hAnsi="Trebuchet MS"/>
          <w:sz w:val="24"/>
          <w:szCs w:val="24"/>
        </w:rPr>
        <w:t>ed</w:t>
      </w:r>
      <w:r w:rsidR="007F2BF6">
        <w:rPr>
          <w:rFonts w:ascii="Trebuchet MS" w:hAnsi="Trebuchet MS"/>
          <w:sz w:val="24"/>
          <w:szCs w:val="24"/>
        </w:rPr>
        <w:t xml:space="preserve"> </w:t>
      </w:r>
      <w:r w:rsidR="004805D2">
        <w:rPr>
          <w:rFonts w:ascii="Trebuchet MS" w:hAnsi="Trebuchet MS"/>
          <w:sz w:val="24"/>
          <w:szCs w:val="24"/>
        </w:rPr>
        <w:t>the Black Country Plan Review</w:t>
      </w:r>
      <w:r w:rsidR="00474A4F">
        <w:rPr>
          <w:rFonts w:ascii="Trebuchet MS" w:hAnsi="Trebuchet MS"/>
          <w:sz w:val="24"/>
          <w:szCs w:val="24"/>
        </w:rPr>
        <w:t xml:space="preserve"> housing evidence for</w:t>
      </w:r>
      <w:r w:rsidR="00242F44">
        <w:rPr>
          <w:rFonts w:ascii="Trebuchet MS" w:hAnsi="Trebuchet MS"/>
          <w:sz w:val="24"/>
          <w:szCs w:val="24"/>
        </w:rPr>
        <w:t xml:space="preserve"> West Midlands CPRE</w:t>
      </w:r>
      <w:r w:rsidR="007F2BF6">
        <w:rPr>
          <w:rFonts w:ascii="Trebuchet MS" w:hAnsi="Trebuchet MS"/>
          <w:sz w:val="24"/>
          <w:szCs w:val="24"/>
        </w:rPr>
        <w:t xml:space="preserve">, including the Urban Capacity Study and the </w:t>
      </w:r>
      <w:r w:rsidR="004805D2">
        <w:rPr>
          <w:rFonts w:ascii="Trebuchet MS" w:hAnsi="Trebuchet MS"/>
          <w:sz w:val="24"/>
          <w:szCs w:val="24"/>
        </w:rPr>
        <w:t xml:space="preserve">Strategic Housing Land Availability Assessments for </w:t>
      </w:r>
      <w:r w:rsidR="00242F44">
        <w:rPr>
          <w:rFonts w:ascii="Trebuchet MS" w:hAnsi="Trebuchet MS"/>
          <w:sz w:val="24"/>
          <w:szCs w:val="24"/>
        </w:rPr>
        <w:t xml:space="preserve">the </w:t>
      </w:r>
      <w:r w:rsidR="004805D2">
        <w:rPr>
          <w:rFonts w:ascii="Trebuchet MS" w:hAnsi="Trebuchet MS"/>
          <w:sz w:val="24"/>
          <w:szCs w:val="24"/>
        </w:rPr>
        <w:t>four boroughs</w:t>
      </w:r>
    </w:p>
    <w:p w14:paraId="6F939A4E" w14:textId="5E002C54" w:rsidR="00242F44" w:rsidRDefault="00482EA5" w:rsidP="007F2BF6">
      <w:pPr>
        <w:spacing w:before="100" w:beforeAutospacing="1" w:after="100" w:afterAutospacing="1"/>
        <w:ind w:hanging="1"/>
        <w:jc w:val="both"/>
        <w:rPr>
          <w:rFonts w:ascii="Trebuchet MS" w:hAnsi="Trebuchet MS"/>
          <w:sz w:val="24"/>
          <w:szCs w:val="24"/>
        </w:rPr>
      </w:pPr>
      <w:r>
        <w:rPr>
          <w:rFonts w:ascii="Trebuchet MS" w:hAnsi="Trebuchet MS"/>
          <w:sz w:val="24"/>
          <w:szCs w:val="24"/>
        </w:rPr>
        <w:t xml:space="preserve">1.2. </w:t>
      </w:r>
      <w:r w:rsidR="007F2BF6">
        <w:rPr>
          <w:rFonts w:ascii="Trebuchet MS" w:hAnsi="Trebuchet MS"/>
          <w:sz w:val="24"/>
          <w:szCs w:val="24"/>
        </w:rPr>
        <w:t>Further to that I reviewed the update</w:t>
      </w:r>
      <w:r w:rsidR="00474A4F">
        <w:rPr>
          <w:rFonts w:ascii="Trebuchet MS" w:hAnsi="Trebuchet MS"/>
          <w:sz w:val="24"/>
          <w:szCs w:val="24"/>
        </w:rPr>
        <w:t>d</w:t>
      </w:r>
      <w:r w:rsidR="007F2BF6">
        <w:rPr>
          <w:rFonts w:ascii="Trebuchet MS" w:hAnsi="Trebuchet MS"/>
          <w:sz w:val="24"/>
          <w:szCs w:val="24"/>
        </w:rPr>
        <w:t xml:space="preserve"> </w:t>
      </w:r>
      <w:r w:rsidR="00242F44">
        <w:rPr>
          <w:rFonts w:ascii="Trebuchet MS" w:hAnsi="Trebuchet MS"/>
          <w:sz w:val="24"/>
          <w:szCs w:val="24"/>
        </w:rPr>
        <w:t xml:space="preserve">Urban Capacity Study and SHLAAs </w:t>
      </w:r>
      <w:r w:rsidR="007F2BF6">
        <w:rPr>
          <w:rFonts w:ascii="Trebuchet MS" w:hAnsi="Trebuchet MS"/>
          <w:sz w:val="24"/>
          <w:szCs w:val="24"/>
        </w:rPr>
        <w:t xml:space="preserve">which informed their </w:t>
      </w:r>
      <w:r w:rsidR="00474A4F">
        <w:rPr>
          <w:rFonts w:ascii="Trebuchet MS" w:hAnsi="Trebuchet MS"/>
          <w:sz w:val="24"/>
          <w:szCs w:val="24"/>
        </w:rPr>
        <w:t xml:space="preserve">Black Country Plan </w:t>
      </w:r>
      <w:r w:rsidR="00242F44">
        <w:rPr>
          <w:rFonts w:ascii="Trebuchet MS" w:hAnsi="Trebuchet MS"/>
          <w:sz w:val="24"/>
          <w:szCs w:val="24"/>
        </w:rPr>
        <w:t>Reg</w:t>
      </w:r>
      <w:r w:rsidR="007F2BF6">
        <w:rPr>
          <w:rFonts w:ascii="Trebuchet MS" w:hAnsi="Trebuchet MS"/>
          <w:sz w:val="24"/>
          <w:szCs w:val="24"/>
        </w:rPr>
        <w:t xml:space="preserve">ulation </w:t>
      </w:r>
      <w:r w:rsidR="007F2BF6">
        <w:rPr>
          <w:rFonts w:ascii="Trebuchet MS" w:hAnsi="Trebuchet MS"/>
          <w:sz w:val="24"/>
          <w:szCs w:val="24"/>
        </w:rPr>
        <w:tab/>
        <w:t xml:space="preserve">18 </w:t>
      </w:r>
      <w:r w:rsidR="00242F44">
        <w:rPr>
          <w:rFonts w:ascii="Trebuchet MS" w:hAnsi="Trebuchet MS"/>
          <w:sz w:val="24"/>
          <w:szCs w:val="24"/>
        </w:rPr>
        <w:t>consultation in 202</w:t>
      </w:r>
      <w:r w:rsidR="007F2BF6">
        <w:rPr>
          <w:rFonts w:ascii="Trebuchet MS" w:hAnsi="Trebuchet MS"/>
          <w:sz w:val="24"/>
          <w:szCs w:val="24"/>
        </w:rPr>
        <w:t>2 as well as the evidence presented in the Chilmark Report, which suggested significant additional brown field housing supply might be found in the sub-region.</w:t>
      </w:r>
    </w:p>
    <w:p w14:paraId="408FB019" w14:textId="05B849C5" w:rsidR="00EC6016" w:rsidRDefault="00482EA5" w:rsidP="007F2BF6">
      <w:pPr>
        <w:spacing w:before="100" w:beforeAutospacing="1" w:after="100" w:afterAutospacing="1"/>
        <w:ind w:hanging="1"/>
        <w:jc w:val="both"/>
        <w:rPr>
          <w:rFonts w:ascii="Trebuchet MS" w:hAnsi="Trebuchet MS"/>
          <w:sz w:val="24"/>
          <w:szCs w:val="24"/>
        </w:rPr>
      </w:pPr>
      <w:r>
        <w:rPr>
          <w:rFonts w:ascii="Trebuchet MS" w:hAnsi="Trebuchet MS"/>
          <w:sz w:val="24"/>
          <w:szCs w:val="24"/>
        </w:rPr>
        <w:t xml:space="preserve">1.3 </w:t>
      </w:r>
      <w:r w:rsidR="007F2BF6">
        <w:rPr>
          <w:rFonts w:ascii="Trebuchet MS" w:hAnsi="Trebuchet MS"/>
          <w:sz w:val="24"/>
          <w:szCs w:val="24"/>
        </w:rPr>
        <w:t xml:space="preserve">However, the plan was subsequently abandoned and individual plans pursued. </w:t>
      </w:r>
      <w:r w:rsidR="00EC6016">
        <w:rPr>
          <w:rFonts w:ascii="Trebuchet MS" w:hAnsi="Trebuchet MS"/>
          <w:sz w:val="24"/>
          <w:szCs w:val="24"/>
        </w:rPr>
        <w:t>The Borough of Sandwell has now published its Regulation 18 Plan (November 2023) and is currently consulting on it. T</w:t>
      </w:r>
      <w:r w:rsidR="007F2BF6">
        <w:rPr>
          <w:rFonts w:ascii="Trebuchet MS" w:hAnsi="Trebuchet MS"/>
          <w:sz w:val="24"/>
          <w:szCs w:val="24"/>
        </w:rPr>
        <w:t xml:space="preserve">his report considers housing need and supply in </w:t>
      </w:r>
      <w:r w:rsidR="00EC6016">
        <w:rPr>
          <w:rFonts w:ascii="Trebuchet MS" w:hAnsi="Trebuchet MS"/>
          <w:sz w:val="24"/>
          <w:szCs w:val="24"/>
        </w:rPr>
        <w:t xml:space="preserve">the Borough of </w:t>
      </w:r>
      <w:r w:rsidR="007F2BF6">
        <w:rPr>
          <w:rFonts w:ascii="Trebuchet MS" w:hAnsi="Trebuchet MS"/>
          <w:sz w:val="24"/>
          <w:szCs w:val="24"/>
        </w:rPr>
        <w:t>Sandwell</w:t>
      </w:r>
      <w:r w:rsidR="00EC6016">
        <w:rPr>
          <w:rFonts w:ascii="Trebuchet MS" w:hAnsi="Trebuchet MS"/>
          <w:sz w:val="24"/>
          <w:szCs w:val="24"/>
        </w:rPr>
        <w:t xml:space="preserve"> and takes account of the most recent 2022 Strategic Housing Land Availability Assessment (SHLAA) as well as the Urban Capacity Appraisal (</w:t>
      </w:r>
      <w:r w:rsidR="00935410">
        <w:rPr>
          <w:rFonts w:ascii="Trebuchet MS" w:hAnsi="Trebuchet MS"/>
          <w:sz w:val="24"/>
          <w:szCs w:val="24"/>
        </w:rPr>
        <w:t xml:space="preserve">UCA </w:t>
      </w:r>
      <w:r w:rsidR="00EC6016">
        <w:rPr>
          <w:rFonts w:ascii="Trebuchet MS" w:hAnsi="Trebuchet MS"/>
          <w:sz w:val="24"/>
          <w:szCs w:val="24"/>
        </w:rPr>
        <w:t xml:space="preserve">November 2023) </w:t>
      </w:r>
    </w:p>
    <w:p w14:paraId="61B5DE7A" w14:textId="3B57CB86" w:rsidR="007F2BF6" w:rsidRDefault="00482EA5" w:rsidP="007F2BF6">
      <w:pPr>
        <w:spacing w:before="100" w:beforeAutospacing="1" w:after="100" w:afterAutospacing="1"/>
        <w:ind w:hanging="1"/>
        <w:jc w:val="both"/>
        <w:rPr>
          <w:rFonts w:ascii="Trebuchet MS" w:hAnsi="Trebuchet MS"/>
          <w:sz w:val="24"/>
          <w:szCs w:val="24"/>
        </w:rPr>
      </w:pPr>
      <w:r>
        <w:rPr>
          <w:rFonts w:ascii="Trebuchet MS" w:hAnsi="Trebuchet MS"/>
          <w:sz w:val="24"/>
          <w:szCs w:val="24"/>
        </w:rPr>
        <w:t xml:space="preserve">1.4 </w:t>
      </w:r>
      <w:r w:rsidR="007F2BF6">
        <w:rPr>
          <w:rFonts w:ascii="Trebuchet MS" w:hAnsi="Trebuchet MS"/>
          <w:sz w:val="24"/>
          <w:szCs w:val="24"/>
        </w:rPr>
        <w:t xml:space="preserve">While Sandwell is a largely urban area it contributed a large proportion of the housing shortfall identified in the Black Country and that still has implications for surrounding districts. </w:t>
      </w:r>
    </w:p>
    <w:p w14:paraId="6AD7DA89" w14:textId="6A43B44E" w:rsidR="007F2BF6" w:rsidRDefault="00482EA5" w:rsidP="007F2BF6">
      <w:pPr>
        <w:spacing w:before="100" w:beforeAutospacing="1" w:after="100" w:afterAutospacing="1"/>
        <w:ind w:hanging="1"/>
        <w:jc w:val="both"/>
        <w:rPr>
          <w:rFonts w:ascii="Trebuchet MS" w:hAnsi="Trebuchet MS"/>
          <w:sz w:val="24"/>
          <w:szCs w:val="24"/>
        </w:rPr>
      </w:pPr>
      <w:r>
        <w:rPr>
          <w:rFonts w:ascii="Trebuchet MS" w:hAnsi="Trebuchet MS"/>
          <w:sz w:val="24"/>
          <w:szCs w:val="24"/>
        </w:rPr>
        <w:t xml:space="preserve">1.5 </w:t>
      </w:r>
      <w:r w:rsidR="0077749C">
        <w:rPr>
          <w:rFonts w:ascii="Trebuchet MS" w:hAnsi="Trebuchet MS"/>
          <w:sz w:val="24"/>
          <w:szCs w:val="24"/>
        </w:rPr>
        <w:t xml:space="preserve">Policy SDS1 of the Regulation 18 </w:t>
      </w:r>
      <w:r w:rsidR="00EC6016">
        <w:rPr>
          <w:rFonts w:ascii="Trebuchet MS" w:hAnsi="Trebuchet MS"/>
          <w:sz w:val="24"/>
          <w:szCs w:val="24"/>
        </w:rPr>
        <w:t>Sandwell P</w:t>
      </w:r>
      <w:r w:rsidR="0077749C">
        <w:rPr>
          <w:rFonts w:ascii="Trebuchet MS" w:hAnsi="Trebuchet MS"/>
          <w:sz w:val="24"/>
          <w:szCs w:val="24"/>
        </w:rPr>
        <w:t>lan assumes a supply of 11,167 (202</w:t>
      </w:r>
      <w:r w:rsidR="007C2BF9">
        <w:rPr>
          <w:rFonts w:ascii="Trebuchet MS" w:hAnsi="Trebuchet MS"/>
          <w:sz w:val="24"/>
          <w:szCs w:val="24"/>
        </w:rPr>
        <w:t>2</w:t>
      </w:r>
      <w:r w:rsidR="0077749C">
        <w:rPr>
          <w:rFonts w:ascii="Trebuchet MS" w:hAnsi="Trebuchet MS"/>
          <w:sz w:val="24"/>
          <w:szCs w:val="24"/>
        </w:rPr>
        <w:t xml:space="preserve">-2041) but a need of 29,773, creating a shortfall of 18,606 which it is seeking to export to other local authorities. </w:t>
      </w:r>
    </w:p>
    <w:p w14:paraId="2050F727" w14:textId="77777777" w:rsidR="0077749C" w:rsidRDefault="0077749C" w:rsidP="007F2BF6">
      <w:pPr>
        <w:spacing w:before="100" w:beforeAutospacing="1" w:after="100" w:afterAutospacing="1"/>
        <w:ind w:hanging="1"/>
        <w:jc w:val="both"/>
        <w:rPr>
          <w:rFonts w:ascii="Trebuchet MS" w:hAnsi="Trebuchet MS"/>
          <w:sz w:val="24"/>
          <w:szCs w:val="24"/>
        </w:rPr>
      </w:pPr>
    </w:p>
    <w:p w14:paraId="16860C42" w14:textId="77777777" w:rsidR="00482EA5" w:rsidRDefault="00482EA5" w:rsidP="007F2BF6">
      <w:pPr>
        <w:spacing w:before="100" w:beforeAutospacing="1" w:after="100" w:afterAutospacing="1"/>
        <w:ind w:hanging="1"/>
        <w:jc w:val="both"/>
        <w:rPr>
          <w:rFonts w:ascii="Trebuchet MS" w:hAnsi="Trebuchet MS"/>
          <w:sz w:val="24"/>
          <w:szCs w:val="24"/>
        </w:rPr>
      </w:pPr>
    </w:p>
    <w:p w14:paraId="68624918" w14:textId="77777777" w:rsidR="00482EA5" w:rsidRDefault="00482EA5" w:rsidP="007F2BF6">
      <w:pPr>
        <w:spacing w:before="100" w:beforeAutospacing="1" w:after="100" w:afterAutospacing="1"/>
        <w:ind w:hanging="1"/>
        <w:jc w:val="both"/>
        <w:rPr>
          <w:rFonts w:ascii="Trebuchet MS" w:hAnsi="Trebuchet MS"/>
          <w:sz w:val="24"/>
          <w:szCs w:val="24"/>
        </w:rPr>
      </w:pPr>
    </w:p>
    <w:p w14:paraId="5EA788A5" w14:textId="3795BDAE" w:rsidR="00482EA5" w:rsidRDefault="00FA2127" w:rsidP="00FA2127">
      <w:pPr>
        <w:tabs>
          <w:tab w:val="left" w:pos="1545"/>
        </w:tabs>
        <w:spacing w:before="100" w:beforeAutospacing="1" w:after="100" w:afterAutospacing="1"/>
        <w:ind w:hanging="1"/>
        <w:jc w:val="both"/>
        <w:rPr>
          <w:rFonts w:ascii="Trebuchet MS" w:hAnsi="Trebuchet MS"/>
          <w:sz w:val="24"/>
          <w:szCs w:val="24"/>
        </w:rPr>
      </w:pPr>
      <w:r>
        <w:rPr>
          <w:rFonts w:ascii="Trebuchet MS" w:hAnsi="Trebuchet MS"/>
          <w:sz w:val="24"/>
          <w:szCs w:val="24"/>
        </w:rPr>
        <w:tab/>
      </w:r>
      <w:r>
        <w:rPr>
          <w:rFonts w:ascii="Trebuchet MS" w:hAnsi="Trebuchet MS"/>
          <w:sz w:val="24"/>
          <w:szCs w:val="24"/>
        </w:rPr>
        <w:tab/>
      </w:r>
    </w:p>
    <w:p w14:paraId="04E85595" w14:textId="77777777" w:rsidR="00482EA5" w:rsidRDefault="00482EA5" w:rsidP="007F2BF6">
      <w:pPr>
        <w:spacing w:before="100" w:beforeAutospacing="1" w:after="100" w:afterAutospacing="1"/>
        <w:ind w:hanging="1"/>
        <w:jc w:val="both"/>
        <w:rPr>
          <w:rFonts w:ascii="Trebuchet MS" w:hAnsi="Trebuchet MS"/>
          <w:sz w:val="24"/>
          <w:szCs w:val="24"/>
        </w:rPr>
      </w:pPr>
    </w:p>
    <w:p w14:paraId="3C0B17B9" w14:textId="77777777" w:rsidR="00CE5DD0" w:rsidRDefault="00CE5DD0" w:rsidP="00226AA7">
      <w:pPr>
        <w:numPr>
          <w:ilvl w:val="0"/>
          <w:numId w:val="19"/>
        </w:numPr>
        <w:jc w:val="both"/>
        <w:rPr>
          <w:rFonts w:ascii="Trebuchet MS" w:hAnsi="Trebuchet MS" w:cs="Verdana"/>
          <w:b/>
          <w:sz w:val="24"/>
          <w:szCs w:val="24"/>
        </w:rPr>
      </w:pPr>
      <w:r w:rsidRPr="00FD6FA4">
        <w:rPr>
          <w:rFonts w:ascii="Trebuchet MS" w:hAnsi="Trebuchet MS" w:cs="Verdana"/>
          <w:b/>
          <w:sz w:val="24"/>
          <w:szCs w:val="24"/>
        </w:rPr>
        <w:t>Housing Need</w:t>
      </w:r>
    </w:p>
    <w:p w14:paraId="616C122C" w14:textId="77777777" w:rsidR="00EC6016" w:rsidRDefault="00EC6016" w:rsidP="00EC6016">
      <w:pPr>
        <w:ind w:left="720"/>
        <w:jc w:val="both"/>
        <w:rPr>
          <w:rFonts w:ascii="Trebuchet MS" w:hAnsi="Trebuchet MS" w:cs="Verdana"/>
          <w:b/>
          <w:sz w:val="24"/>
          <w:szCs w:val="24"/>
        </w:rPr>
      </w:pPr>
    </w:p>
    <w:p w14:paraId="0186F6D6" w14:textId="77777777" w:rsidR="0077749C" w:rsidRDefault="0077749C" w:rsidP="0077749C">
      <w:pPr>
        <w:jc w:val="both"/>
        <w:rPr>
          <w:rFonts w:ascii="Trebuchet MS" w:hAnsi="Trebuchet MS" w:cs="Verdana"/>
          <w:b/>
          <w:sz w:val="24"/>
          <w:szCs w:val="24"/>
        </w:rPr>
      </w:pPr>
    </w:p>
    <w:p w14:paraId="5340047D" w14:textId="7F2A1788" w:rsidR="00981ABB" w:rsidRDefault="00482EA5" w:rsidP="0077749C">
      <w:pPr>
        <w:jc w:val="both"/>
        <w:rPr>
          <w:rFonts w:ascii="Trebuchet MS" w:hAnsi="Trebuchet MS" w:cs="Verdana"/>
          <w:bCs/>
          <w:sz w:val="24"/>
          <w:szCs w:val="24"/>
        </w:rPr>
      </w:pPr>
      <w:r>
        <w:rPr>
          <w:rFonts w:ascii="Trebuchet MS" w:hAnsi="Trebuchet MS" w:cs="Verdana"/>
          <w:bCs/>
          <w:sz w:val="24"/>
          <w:szCs w:val="24"/>
        </w:rPr>
        <w:t xml:space="preserve">2.1 </w:t>
      </w:r>
      <w:r w:rsidR="0077749C" w:rsidRPr="0077749C">
        <w:rPr>
          <w:rFonts w:ascii="Trebuchet MS" w:hAnsi="Trebuchet MS" w:cs="Verdana"/>
          <w:bCs/>
          <w:sz w:val="24"/>
          <w:szCs w:val="24"/>
        </w:rPr>
        <w:t>The housing need figure of 29,773 uses the Government’s standard methodology based on the 2022 affordability figures for Sandwell. This amounts to 1</w:t>
      </w:r>
      <w:r w:rsidR="00FB77D7">
        <w:rPr>
          <w:rFonts w:ascii="Trebuchet MS" w:hAnsi="Trebuchet MS" w:cs="Verdana"/>
          <w:bCs/>
          <w:sz w:val="24"/>
          <w:szCs w:val="24"/>
        </w:rPr>
        <w:t>,</w:t>
      </w:r>
      <w:r w:rsidR="0077749C" w:rsidRPr="0077749C">
        <w:rPr>
          <w:rFonts w:ascii="Trebuchet MS" w:hAnsi="Trebuchet MS" w:cs="Verdana"/>
          <w:bCs/>
          <w:sz w:val="24"/>
          <w:szCs w:val="24"/>
        </w:rPr>
        <w:t>56</w:t>
      </w:r>
      <w:r w:rsidR="0077749C">
        <w:rPr>
          <w:rFonts w:ascii="Trebuchet MS" w:hAnsi="Trebuchet MS" w:cs="Verdana"/>
          <w:bCs/>
          <w:sz w:val="24"/>
          <w:szCs w:val="24"/>
        </w:rPr>
        <w:t>7</w:t>
      </w:r>
      <w:r w:rsidR="0077749C" w:rsidRPr="0077749C">
        <w:rPr>
          <w:rFonts w:ascii="Trebuchet MS" w:hAnsi="Trebuchet MS" w:cs="Verdana"/>
          <w:bCs/>
          <w:sz w:val="24"/>
          <w:szCs w:val="24"/>
        </w:rPr>
        <w:t xml:space="preserve"> dwellings per annum</w:t>
      </w:r>
      <w:r w:rsidR="0077749C">
        <w:rPr>
          <w:rFonts w:ascii="Trebuchet MS" w:hAnsi="Trebuchet MS" w:cs="Verdana"/>
          <w:bCs/>
          <w:sz w:val="24"/>
          <w:szCs w:val="24"/>
        </w:rPr>
        <w:t>, of which 1</w:t>
      </w:r>
      <w:r w:rsidR="00FB77D7">
        <w:rPr>
          <w:rFonts w:ascii="Trebuchet MS" w:hAnsi="Trebuchet MS" w:cs="Verdana"/>
          <w:bCs/>
          <w:sz w:val="24"/>
          <w:szCs w:val="24"/>
        </w:rPr>
        <w:t>,</w:t>
      </w:r>
      <w:r w:rsidR="0077749C">
        <w:rPr>
          <w:rFonts w:ascii="Trebuchet MS" w:hAnsi="Trebuchet MS" w:cs="Verdana"/>
          <w:bCs/>
          <w:sz w:val="24"/>
          <w:szCs w:val="24"/>
        </w:rPr>
        <w:t xml:space="preserve">334 are required to meet demographic housing need </w:t>
      </w:r>
      <w:r w:rsidR="00981ABB">
        <w:rPr>
          <w:rFonts w:ascii="Trebuchet MS" w:hAnsi="Trebuchet MS" w:cs="Verdana"/>
          <w:bCs/>
          <w:sz w:val="24"/>
          <w:szCs w:val="24"/>
        </w:rPr>
        <w:t xml:space="preserve">(25,346 over the plan period) </w:t>
      </w:r>
      <w:r w:rsidR="0077749C">
        <w:rPr>
          <w:rFonts w:ascii="Trebuchet MS" w:hAnsi="Trebuchet MS" w:cs="Verdana"/>
          <w:bCs/>
          <w:sz w:val="24"/>
          <w:szCs w:val="24"/>
        </w:rPr>
        <w:t xml:space="preserve">and </w:t>
      </w:r>
      <w:r w:rsidR="00981ABB">
        <w:rPr>
          <w:rFonts w:ascii="Trebuchet MS" w:hAnsi="Trebuchet MS" w:cs="Verdana"/>
          <w:bCs/>
          <w:sz w:val="24"/>
          <w:szCs w:val="24"/>
        </w:rPr>
        <w:t xml:space="preserve">233 </w:t>
      </w:r>
      <w:r w:rsidR="00EC6016">
        <w:rPr>
          <w:rFonts w:ascii="Trebuchet MS" w:hAnsi="Trebuchet MS" w:cs="Verdana"/>
          <w:bCs/>
          <w:sz w:val="24"/>
          <w:szCs w:val="24"/>
        </w:rPr>
        <w:t>dpa (4,427 over the plan period) a</w:t>
      </w:r>
      <w:r w:rsidR="00981ABB">
        <w:rPr>
          <w:rFonts w:ascii="Trebuchet MS" w:hAnsi="Trebuchet MS" w:cs="Verdana"/>
          <w:bCs/>
          <w:sz w:val="24"/>
          <w:szCs w:val="24"/>
        </w:rPr>
        <w:t xml:space="preserve">re added for the </w:t>
      </w:r>
      <w:r w:rsidR="00EC6016">
        <w:rPr>
          <w:rFonts w:ascii="Trebuchet MS" w:hAnsi="Trebuchet MS" w:cs="Verdana"/>
          <w:bCs/>
          <w:sz w:val="24"/>
          <w:szCs w:val="24"/>
        </w:rPr>
        <w:t xml:space="preserve">so-called </w:t>
      </w:r>
      <w:r w:rsidR="00981ABB">
        <w:rPr>
          <w:rFonts w:ascii="Trebuchet MS" w:hAnsi="Trebuchet MS" w:cs="Verdana"/>
          <w:bCs/>
          <w:sz w:val="24"/>
          <w:szCs w:val="24"/>
        </w:rPr>
        <w:t>‘affordability’ correction</w:t>
      </w:r>
      <w:r w:rsidR="0077749C" w:rsidRPr="0077749C">
        <w:rPr>
          <w:rFonts w:ascii="Trebuchet MS" w:hAnsi="Trebuchet MS" w:cs="Verdana"/>
          <w:bCs/>
          <w:sz w:val="24"/>
          <w:szCs w:val="24"/>
        </w:rPr>
        <w:t>.</w:t>
      </w:r>
      <w:r w:rsidR="00981ABB">
        <w:rPr>
          <w:rFonts w:ascii="Trebuchet MS" w:hAnsi="Trebuchet MS" w:cs="Verdana"/>
          <w:bCs/>
          <w:sz w:val="24"/>
          <w:szCs w:val="24"/>
        </w:rPr>
        <w:t xml:space="preserve"> Notably the Standard Methodology varies by year, so in 2021 it would have been </w:t>
      </w:r>
      <w:r w:rsidR="00EC6016">
        <w:rPr>
          <w:rFonts w:ascii="Trebuchet MS" w:hAnsi="Trebuchet MS" w:cs="Verdana"/>
          <w:bCs/>
          <w:sz w:val="24"/>
          <w:szCs w:val="24"/>
        </w:rPr>
        <w:t xml:space="preserve">only </w:t>
      </w:r>
      <w:r w:rsidR="00981ABB">
        <w:rPr>
          <w:rFonts w:ascii="Trebuchet MS" w:hAnsi="Trebuchet MS" w:cs="Verdana"/>
          <w:bCs/>
          <w:sz w:val="24"/>
          <w:szCs w:val="24"/>
        </w:rPr>
        <w:t>1</w:t>
      </w:r>
      <w:r w:rsidR="00FB77D7">
        <w:rPr>
          <w:rFonts w:ascii="Trebuchet MS" w:hAnsi="Trebuchet MS" w:cs="Verdana"/>
          <w:bCs/>
          <w:sz w:val="24"/>
          <w:szCs w:val="24"/>
        </w:rPr>
        <w:t>,</w:t>
      </w:r>
      <w:r w:rsidR="00981ABB">
        <w:rPr>
          <w:rFonts w:ascii="Trebuchet MS" w:hAnsi="Trebuchet MS" w:cs="Verdana"/>
          <w:bCs/>
          <w:sz w:val="24"/>
          <w:szCs w:val="24"/>
        </w:rPr>
        <w:t>515 dpa (28,785 over the plan period)</w:t>
      </w:r>
      <w:r w:rsidR="00EC6016">
        <w:rPr>
          <w:rFonts w:ascii="Trebuchet MS" w:hAnsi="Trebuchet MS" w:cs="Verdana"/>
          <w:bCs/>
          <w:sz w:val="24"/>
          <w:szCs w:val="24"/>
        </w:rPr>
        <w:t xml:space="preserve"> a variation of nearly 1,000</w:t>
      </w:r>
      <w:r w:rsidR="00981ABB">
        <w:rPr>
          <w:rFonts w:ascii="Trebuchet MS" w:hAnsi="Trebuchet MS" w:cs="Verdana"/>
          <w:bCs/>
          <w:sz w:val="24"/>
          <w:szCs w:val="24"/>
        </w:rPr>
        <w:t>.</w:t>
      </w:r>
    </w:p>
    <w:p w14:paraId="40D39A35" w14:textId="77777777" w:rsidR="00981ABB" w:rsidRDefault="00981ABB" w:rsidP="0077749C">
      <w:pPr>
        <w:jc w:val="both"/>
        <w:rPr>
          <w:rFonts w:ascii="Trebuchet MS" w:hAnsi="Trebuchet MS" w:cs="Verdana"/>
          <w:bCs/>
          <w:sz w:val="24"/>
          <w:szCs w:val="24"/>
        </w:rPr>
      </w:pPr>
    </w:p>
    <w:p w14:paraId="5283A7F2" w14:textId="2A10A48C" w:rsidR="00981ABB" w:rsidRDefault="00482EA5" w:rsidP="00981ABB">
      <w:pPr>
        <w:spacing w:before="100" w:beforeAutospacing="1" w:after="100" w:afterAutospacing="1"/>
        <w:ind w:left="-1"/>
        <w:jc w:val="both"/>
        <w:rPr>
          <w:rFonts w:ascii="Trebuchet MS" w:hAnsi="Trebuchet MS"/>
          <w:sz w:val="24"/>
          <w:szCs w:val="24"/>
        </w:rPr>
      </w:pPr>
      <w:r>
        <w:rPr>
          <w:rFonts w:ascii="Trebuchet MS" w:hAnsi="Trebuchet MS" w:cs="Verdana"/>
          <w:bCs/>
          <w:sz w:val="24"/>
          <w:szCs w:val="24"/>
        </w:rPr>
        <w:t xml:space="preserve">2.2 </w:t>
      </w:r>
      <w:r w:rsidR="00C66412">
        <w:rPr>
          <w:rFonts w:ascii="Trebuchet MS" w:hAnsi="Trebuchet MS" w:cs="Verdana"/>
          <w:bCs/>
          <w:sz w:val="24"/>
          <w:szCs w:val="24"/>
        </w:rPr>
        <w:t>Even m</w:t>
      </w:r>
      <w:r w:rsidR="00981ABB">
        <w:rPr>
          <w:rFonts w:ascii="Trebuchet MS" w:hAnsi="Trebuchet MS" w:cs="Verdana"/>
          <w:bCs/>
          <w:sz w:val="24"/>
          <w:szCs w:val="24"/>
        </w:rPr>
        <w:t xml:space="preserve">ore importantly the SM calculation relies on the outdated ONS2014 housing calculations. </w:t>
      </w:r>
      <w:r w:rsidR="00981ABB" w:rsidRPr="00BD5E95">
        <w:rPr>
          <w:rFonts w:ascii="Trebuchet MS" w:hAnsi="Trebuchet MS"/>
          <w:sz w:val="24"/>
          <w:szCs w:val="24"/>
        </w:rPr>
        <w:t xml:space="preserve">However, if one uses </w:t>
      </w:r>
      <w:r w:rsidR="00981ABB">
        <w:rPr>
          <w:rFonts w:ascii="Trebuchet MS" w:hAnsi="Trebuchet MS"/>
          <w:sz w:val="24"/>
          <w:szCs w:val="24"/>
        </w:rPr>
        <w:t xml:space="preserve">either of </w:t>
      </w:r>
      <w:r w:rsidR="00981ABB" w:rsidRPr="00BD5E95">
        <w:rPr>
          <w:rFonts w:ascii="Trebuchet MS" w:hAnsi="Trebuchet MS"/>
          <w:sz w:val="24"/>
          <w:szCs w:val="24"/>
        </w:rPr>
        <w:t>the more up to date</w:t>
      </w:r>
      <w:r w:rsidR="00981ABB">
        <w:rPr>
          <w:rFonts w:ascii="Trebuchet MS" w:hAnsi="Trebuchet MS"/>
          <w:sz w:val="24"/>
          <w:szCs w:val="24"/>
        </w:rPr>
        <w:t xml:space="preserve"> household projections,</w:t>
      </w:r>
      <w:r w:rsidR="00981ABB" w:rsidRPr="00BD5E95">
        <w:rPr>
          <w:rFonts w:ascii="Trebuchet MS" w:hAnsi="Trebuchet MS"/>
          <w:sz w:val="24"/>
          <w:szCs w:val="24"/>
        </w:rPr>
        <w:t xml:space="preserve"> 2016</w:t>
      </w:r>
      <w:r w:rsidR="00981ABB">
        <w:rPr>
          <w:rFonts w:ascii="Trebuchet MS" w:hAnsi="Trebuchet MS"/>
          <w:sz w:val="24"/>
          <w:szCs w:val="24"/>
        </w:rPr>
        <w:t xml:space="preserve"> </w:t>
      </w:r>
      <w:r w:rsidR="00981ABB" w:rsidRPr="00BD5E95">
        <w:rPr>
          <w:rFonts w:ascii="Trebuchet MS" w:hAnsi="Trebuchet MS"/>
          <w:sz w:val="24"/>
          <w:szCs w:val="24"/>
        </w:rPr>
        <w:t xml:space="preserve">ONS </w:t>
      </w:r>
      <w:r w:rsidR="00981ABB">
        <w:rPr>
          <w:rFonts w:ascii="Trebuchet MS" w:hAnsi="Trebuchet MS"/>
          <w:sz w:val="24"/>
          <w:szCs w:val="24"/>
        </w:rPr>
        <w:t xml:space="preserve">and 2018 ONS, </w:t>
      </w:r>
      <w:r w:rsidR="00981ABB" w:rsidRPr="00BD5E95">
        <w:rPr>
          <w:rFonts w:ascii="Trebuchet MS" w:hAnsi="Trebuchet MS"/>
          <w:sz w:val="24"/>
          <w:szCs w:val="24"/>
        </w:rPr>
        <w:t xml:space="preserve">the need is </w:t>
      </w:r>
      <w:r w:rsidR="00981ABB">
        <w:rPr>
          <w:rFonts w:ascii="Trebuchet MS" w:hAnsi="Trebuchet MS"/>
          <w:sz w:val="24"/>
          <w:szCs w:val="24"/>
        </w:rPr>
        <w:t>considerably lower, both for San</w:t>
      </w:r>
      <w:r w:rsidR="00C66412">
        <w:rPr>
          <w:rFonts w:ascii="Trebuchet MS" w:hAnsi="Trebuchet MS"/>
          <w:sz w:val="24"/>
          <w:szCs w:val="24"/>
        </w:rPr>
        <w:t>d</w:t>
      </w:r>
      <w:r w:rsidR="00981ABB">
        <w:rPr>
          <w:rFonts w:ascii="Trebuchet MS" w:hAnsi="Trebuchet MS"/>
          <w:sz w:val="24"/>
          <w:szCs w:val="24"/>
        </w:rPr>
        <w:t>well and the Black Country overall</w:t>
      </w:r>
      <w:r w:rsidR="00981ABB" w:rsidRPr="00BD5E95">
        <w:rPr>
          <w:rFonts w:ascii="Trebuchet MS" w:hAnsi="Trebuchet MS"/>
          <w:sz w:val="24"/>
          <w:szCs w:val="24"/>
        </w:rPr>
        <w:t xml:space="preserve">. </w:t>
      </w:r>
    </w:p>
    <w:p w14:paraId="013D00BC" w14:textId="1FCEC65C" w:rsidR="0077749C" w:rsidRDefault="0077749C" w:rsidP="0077749C">
      <w:pPr>
        <w:jc w:val="both"/>
        <w:rPr>
          <w:rFonts w:ascii="Trebuchet MS" w:hAnsi="Trebuchet MS" w:cs="Verdana"/>
          <w:bCs/>
          <w:sz w:val="24"/>
          <w:szCs w:val="24"/>
        </w:rPr>
      </w:pPr>
    </w:p>
    <w:p w14:paraId="4A25570A" w14:textId="663BF53D" w:rsidR="00981ABB" w:rsidRPr="00315EAB" w:rsidRDefault="00981ABB" w:rsidP="00981ABB">
      <w:pPr>
        <w:ind w:right="333"/>
        <w:jc w:val="center"/>
        <w:rPr>
          <w:rFonts w:ascii="Trebuchet MS" w:hAnsi="Trebuchet MS" w:cs="Arial"/>
          <w:b/>
          <w:bCs/>
          <w:sz w:val="24"/>
          <w:szCs w:val="24"/>
        </w:rPr>
      </w:pPr>
      <w:r>
        <w:rPr>
          <w:rFonts w:ascii="Trebuchet MS" w:hAnsi="Trebuchet MS" w:cs="Arial"/>
          <w:b/>
          <w:bCs/>
          <w:sz w:val="24"/>
          <w:szCs w:val="24"/>
        </w:rPr>
        <w:t xml:space="preserve">Table </w:t>
      </w:r>
      <w:r w:rsidR="00C66412">
        <w:rPr>
          <w:rFonts w:ascii="Trebuchet MS" w:hAnsi="Trebuchet MS" w:cs="Arial"/>
          <w:b/>
          <w:bCs/>
          <w:sz w:val="24"/>
          <w:szCs w:val="24"/>
        </w:rPr>
        <w:t>1</w:t>
      </w:r>
      <w:r>
        <w:rPr>
          <w:rFonts w:ascii="Trebuchet MS" w:hAnsi="Trebuchet MS" w:cs="Arial"/>
          <w:b/>
          <w:bCs/>
          <w:sz w:val="24"/>
          <w:szCs w:val="24"/>
        </w:rPr>
        <w:t>: Need Calculations for Sandwell /ONS Figures (2022 affordability)</w:t>
      </w:r>
    </w:p>
    <w:p w14:paraId="1588EEB5" w14:textId="77777777" w:rsidR="00981ABB" w:rsidRDefault="00981ABB" w:rsidP="00981ABB">
      <w:pPr>
        <w:spacing w:before="100" w:beforeAutospacing="1" w:after="100" w:afterAutospacing="1"/>
        <w:jc w:val="center"/>
        <w:rPr>
          <w:rFonts w:ascii="Trebuchet MS" w:hAnsi="Trebuchet MS"/>
          <w:sz w:val="24"/>
          <w:szCs w:val="24"/>
        </w:rPr>
      </w:pPr>
    </w:p>
    <w:tbl>
      <w:tblPr>
        <w:tblpPr w:leftFromText="180" w:rightFromText="180" w:vertAnchor="text" w:horzAnchor="margin" w:tblpXSpec="center"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1266"/>
        <w:gridCol w:w="1513"/>
        <w:gridCol w:w="1513"/>
        <w:gridCol w:w="1879"/>
      </w:tblGrid>
      <w:tr w:rsidR="00474A4F" w:rsidRPr="0024699D" w14:paraId="5CFC294A" w14:textId="538C0BFD" w:rsidTr="00FB77D7">
        <w:trPr>
          <w:trHeight w:val="1245"/>
        </w:trPr>
        <w:tc>
          <w:tcPr>
            <w:tcW w:w="3322" w:type="dxa"/>
            <w:shd w:val="clear" w:color="auto" w:fill="auto"/>
          </w:tcPr>
          <w:p w14:paraId="413A4196" w14:textId="3EC6AFD2" w:rsidR="00474A4F" w:rsidRPr="0024699D"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 xml:space="preserve">Sandwell </w:t>
            </w:r>
            <w:r w:rsidRPr="0024699D">
              <w:rPr>
                <w:rFonts w:ascii="Trebuchet MS" w:eastAsia="Calibri" w:hAnsi="Trebuchet MS" w:cs="Verdana"/>
                <w:bCs/>
                <w:color w:val="000000"/>
                <w:sz w:val="24"/>
                <w:szCs w:val="24"/>
              </w:rPr>
              <w:t>Housing Need</w:t>
            </w:r>
          </w:p>
          <w:p w14:paraId="72F2FB4B" w14:textId="57716163" w:rsidR="00474A4F" w:rsidRPr="0024699D" w:rsidRDefault="00474A4F" w:rsidP="004F019F">
            <w:pPr>
              <w:jc w:val="center"/>
              <w:rPr>
                <w:rFonts w:ascii="Trebuchet MS" w:eastAsia="Calibri" w:hAnsi="Trebuchet MS" w:cs="Verdana"/>
                <w:bCs/>
                <w:color w:val="000000"/>
                <w:sz w:val="24"/>
                <w:szCs w:val="24"/>
              </w:rPr>
            </w:pPr>
            <w:r w:rsidRPr="0024699D">
              <w:rPr>
                <w:rFonts w:ascii="Trebuchet MS" w:eastAsia="Calibri" w:hAnsi="Trebuchet MS" w:cs="Verdana"/>
                <w:bCs/>
                <w:color w:val="000000"/>
                <w:sz w:val="24"/>
                <w:szCs w:val="24"/>
              </w:rPr>
              <w:t>20</w:t>
            </w:r>
            <w:r>
              <w:rPr>
                <w:rFonts w:ascii="Trebuchet MS" w:eastAsia="Calibri" w:hAnsi="Trebuchet MS" w:cs="Verdana"/>
                <w:bCs/>
                <w:color w:val="000000"/>
                <w:sz w:val="24"/>
                <w:szCs w:val="24"/>
              </w:rPr>
              <w:t>22</w:t>
            </w:r>
            <w:r w:rsidRPr="0024699D">
              <w:rPr>
                <w:rFonts w:ascii="Trebuchet MS" w:eastAsia="Calibri" w:hAnsi="Trebuchet MS" w:cs="Verdana"/>
                <w:bCs/>
                <w:color w:val="000000"/>
                <w:sz w:val="24"/>
                <w:szCs w:val="24"/>
              </w:rPr>
              <w:t>-20</w:t>
            </w:r>
            <w:r>
              <w:rPr>
                <w:rFonts w:ascii="Trebuchet MS" w:eastAsia="Calibri" w:hAnsi="Trebuchet MS" w:cs="Verdana"/>
                <w:bCs/>
                <w:color w:val="000000"/>
                <w:sz w:val="24"/>
                <w:szCs w:val="24"/>
              </w:rPr>
              <w:t>41 (including affordability uplift)</w:t>
            </w:r>
          </w:p>
        </w:tc>
        <w:tc>
          <w:tcPr>
            <w:tcW w:w="1266" w:type="dxa"/>
          </w:tcPr>
          <w:p w14:paraId="6E9F6A59" w14:textId="77777777" w:rsidR="00474A4F" w:rsidRPr="00DE082E" w:rsidRDefault="00474A4F" w:rsidP="004F019F">
            <w:pPr>
              <w:jc w:val="center"/>
              <w:rPr>
                <w:rFonts w:ascii="Trebuchet MS" w:eastAsia="Calibri" w:hAnsi="Trebuchet MS" w:cs="Verdana"/>
                <w:bCs/>
                <w:color w:val="000000"/>
                <w:sz w:val="24"/>
                <w:szCs w:val="24"/>
              </w:rPr>
            </w:pPr>
            <w:r w:rsidRPr="00DE082E">
              <w:rPr>
                <w:rFonts w:ascii="Trebuchet MS" w:eastAsia="Calibri" w:hAnsi="Trebuchet MS" w:cs="Verdana"/>
                <w:bCs/>
                <w:color w:val="000000"/>
                <w:sz w:val="24"/>
                <w:szCs w:val="24"/>
              </w:rPr>
              <w:t>Annual rate</w:t>
            </w:r>
          </w:p>
        </w:tc>
        <w:tc>
          <w:tcPr>
            <w:tcW w:w="1513" w:type="dxa"/>
          </w:tcPr>
          <w:p w14:paraId="4C4CF3A0" w14:textId="074DB9E0"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Demographic Increase</w:t>
            </w:r>
          </w:p>
        </w:tc>
        <w:tc>
          <w:tcPr>
            <w:tcW w:w="1513" w:type="dxa"/>
          </w:tcPr>
          <w:p w14:paraId="7D2DE52C" w14:textId="7010B717"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Plan Period (19 Years)</w:t>
            </w:r>
          </w:p>
        </w:tc>
        <w:tc>
          <w:tcPr>
            <w:tcW w:w="1879" w:type="dxa"/>
          </w:tcPr>
          <w:p w14:paraId="3EB4DE06" w14:textId="57E4D040"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Shortfall based on 11,167 supply</w:t>
            </w:r>
          </w:p>
        </w:tc>
      </w:tr>
      <w:tr w:rsidR="00474A4F" w:rsidRPr="0024699D" w14:paraId="61FF522E" w14:textId="3BB66259" w:rsidTr="00FB77D7">
        <w:trPr>
          <w:trHeight w:val="281"/>
        </w:trPr>
        <w:tc>
          <w:tcPr>
            <w:tcW w:w="3322" w:type="dxa"/>
            <w:shd w:val="clear" w:color="auto" w:fill="auto"/>
          </w:tcPr>
          <w:p w14:paraId="50C8EF6C" w14:textId="77777777" w:rsidR="00474A4F" w:rsidRPr="0024699D"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SM ONS 2018</w:t>
            </w:r>
          </w:p>
        </w:tc>
        <w:tc>
          <w:tcPr>
            <w:tcW w:w="1266" w:type="dxa"/>
          </w:tcPr>
          <w:p w14:paraId="4795DF85" w14:textId="7B8D03CC" w:rsidR="00474A4F" w:rsidRPr="000E283F" w:rsidRDefault="00474A4F" w:rsidP="004F019F">
            <w:pPr>
              <w:jc w:val="center"/>
              <w:rPr>
                <w:rFonts w:ascii="Trebuchet MS" w:eastAsia="Calibri" w:hAnsi="Trebuchet MS" w:cs="Verdana"/>
                <w:bCs/>
                <w:sz w:val="24"/>
                <w:szCs w:val="24"/>
              </w:rPr>
            </w:pPr>
            <w:r>
              <w:rPr>
                <w:rFonts w:ascii="Trebuchet MS" w:eastAsia="Calibri" w:hAnsi="Trebuchet MS" w:cs="Verdana"/>
                <w:bCs/>
                <w:sz w:val="24"/>
                <w:szCs w:val="24"/>
              </w:rPr>
              <w:t>1014</w:t>
            </w:r>
          </w:p>
        </w:tc>
        <w:tc>
          <w:tcPr>
            <w:tcW w:w="1513" w:type="dxa"/>
          </w:tcPr>
          <w:p w14:paraId="7696264B" w14:textId="0D5F61B0"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863</w:t>
            </w:r>
          </w:p>
        </w:tc>
        <w:tc>
          <w:tcPr>
            <w:tcW w:w="1513" w:type="dxa"/>
          </w:tcPr>
          <w:p w14:paraId="0FCC65C4" w14:textId="6BD7A231"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19266</w:t>
            </w:r>
          </w:p>
        </w:tc>
        <w:tc>
          <w:tcPr>
            <w:tcW w:w="1879" w:type="dxa"/>
          </w:tcPr>
          <w:p w14:paraId="5EE7C5D3" w14:textId="014B26C6" w:rsidR="00474A4F" w:rsidRDefault="00474A4F" w:rsidP="00474A4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8099</w:t>
            </w:r>
          </w:p>
        </w:tc>
      </w:tr>
      <w:tr w:rsidR="00474A4F" w:rsidRPr="0024699D" w14:paraId="448295E9" w14:textId="7C9D1327" w:rsidTr="00FB77D7">
        <w:trPr>
          <w:trHeight w:val="281"/>
        </w:trPr>
        <w:tc>
          <w:tcPr>
            <w:tcW w:w="3322" w:type="dxa"/>
            <w:shd w:val="clear" w:color="auto" w:fill="auto"/>
          </w:tcPr>
          <w:p w14:paraId="1B00AC4B" w14:textId="77777777" w:rsidR="00474A4F" w:rsidRPr="0024699D" w:rsidRDefault="00474A4F" w:rsidP="004F019F">
            <w:pPr>
              <w:jc w:val="center"/>
              <w:rPr>
                <w:rFonts w:ascii="Trebuchet MS" w:eastAsia="Calibri" w:hAnsi="Trebuchet MS" w:cs="Verdana"/>
                <w:bCs/>
                <w:color w:val="000000"/>
                <w:sz w:val="24"/>
                <w:szCs w:val="24"/>
              </w:rPr>
            </w:pPr>
            <w:r w:rsidRPr="0024699D">
              <w:rPr>
                <w:rFonts w:ascii="Trebuchet MS" w:eastAsia="Calibri" w:hAnsi="Trebuchet MS" w:cs="Verdana"/>
                <w:bCs/>
                <w:color w:val="000000"/>
                <w:sz w:val="24"/>
                <w:szCs w:val="24"/>
              </w:rPr>
              <w:t>SM ONS 2016</w:t>
            </w:r>
          </w:p>
        </w:tc>
        <w:tc>
          <w:tcPr>
            <w:tcW w:w="1266" w:type="dxa"/>
          </w:tcPr>
          <w:p w14:paraId="03DE7D36" w14:textId="0E62B381" w:rsidR="00474A4F" w:rsidRPr="000E283F" w:rsidRDefault="00474A4F" w:rsidP="004F019F">
            <w:pPr>
              <w:jc w:val="center"/>
              <w:rPr>
                <w:rFonts w:ascii="Trebuchet MS" w:eastAsia="Calibri" w:hAnsi="Trebuchet MS" w:cs="Verdana"/>
                <w:bCs/>
                <w:sz w:val="24"/>
                <w:szCs w:val="24"/>
              </w:rPr>
            </w:pPr>
            <w:r>
              <w:rPr>
                <w:rFonts w:ascii="Trebuchet MS" w:eastAsia="Calibri" w:hAnsi="Trebuchet MS" w:cs="Verdana"/>
                <w:bCs/>
                <w:sz w:val="24"/>
                <w:szCs w:val="24"/>
              </w:rPr>
              <w:t>1174</w:t>
            </w:r>
          </w:p>
        </w:tc>
        <w:tc>
          <w:tcPr>
            <w:tcW w:w="1513" w:type="dxa"/>
          </w:tcPr>
          <w:p w14:paraId="58FAEE68" w14:textId="1DF38A48"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1000</w:t>
            </w:r>
          </w:p>
        </w:tc>
        <w:tc>
          <w:tcPr>
            <w:tcW w:w="1513" w:type="dxa"/>
          </w:tcPr>
          <w:p w14:paraId="15467F14" w14:textId="4A762005"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22306</w:t>
            </w:r>
          </w:p>
        </w:tc>
        <w:tc>
          <w:tcPr>
            <w:tcW w:w="1879" w:type="dxa"/>
          </w:tcPr>
          <w:p w14:paraId="30F4C7C3" w14:textId="3B1B36D9"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11139</w:t>
            </w:r>
          </w:p>
        </w:tc>
      </w:tr>
      <w:tr w:rsidR="00474A4F" w:rsidRPr="0024699D" w14:paraId="1109FB12" w14:textId="39A062C6" w:rsidTr="00FB77D7">
        <w:trPr>
          <w:trHeight w:val="281"/>
        </w:trPr>
        <w:tc>
          <w:tcPr>
            <w:tcW w:w="3322" w:type="dxa"/>
            <w:shd w:val="clear" w:color="auto" w:fill="auto"/>
          </w:tcPr>
          <w:p w14:paraId="60BDF7B1" w14:textId="77777777" w:rsidR="00474A4F" w:rsidRPr="0024699D" w:rsidRDefault="00474A4F" w:rsidP="004F019F">
            <w:pPr>
              <w:jc w:val="center"/>
              <w:rPr>
                <w:rFonts w:ascii="Trebuchet MS" w:eastAsia="Calibri" w:hAnsi="Trebuchet MS" w:cs="Verdana"/>
                <w:bCs/>
                <w:color w:val="000000"/>
                <w:sz w:val="24"/>
                <w:szCs w:val="24"/>
              </w:rPr>
            </w:pPr>
            <w:r w:rsidRPr="0024699D">
              <w:rPr>
                <w:rFonts w:ascii="Trebuchet MS" w:eastAsia="Calibri" w:hAnsi="Trebuchet MS" w:cs="Verdana"/>
                <w:bCs/>
                <w:color w:val="000000"/>
                <w:sz w:val="24"/>
                <w:szCs w:val="24"/>
              </w:rPr>
              <w:t>SM ONS 2014</w:t>
            </w:r>
          </w:p>
        </w:tc>
        <w:tc>
          <w:tcPr>
            <w:tcW w:w="1266" w:type="dxa"/>
          </w:tcPr>
          <w:p w14:paraId="72D4184A" w14:textId="6839D9BA" w:rsidR="00474A4F" w:rsidRPr="000E283F" w:rsidRDefault="00474A4F" w:rsidP="004F019F">
            <w:pPr>
              <w:jc w:val="center"/>
              <w:rPr>
                <w:rFonts w:ascii="Trebuchet MS" w:eastAsia="Calibri" w:hAnsi="Trebuchet MS" w:cs="Verdana"/>
                <w:bCs/>
                <w:sz w:val="24"/>
                <w:szCs w:val="24"/>
              </w:rPr>
            </w:pPr>
            <w:r>
              <w:rPr>
                <w:rFonts w:ascii="Trebuchet MS" w:eastAsia="Calibri" w:hAnsi="Trebuchet MS" w:cs="Verdana"/>
                <w:bCs/>
                <w:sz w:val="24"/>
                <w:szCs w:val="24"/>
              </w:rPr>
              <w:t>1567</w:t>
            </w:r>
          </w:p>
        </w:tc>
        <w:tc>
          <w:tcPr>
            <w:tcW w:w="1513" w:type="dxa"/>
          </w:tcPr>
          <w:p w14:paraId="5F7F817B" w14:textId="6F6F172E"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1334</w:t>
            </w:r>
          </w:p>
        </w:tc>
        <w:tc>
          <w:tcPr>
            <w:tcW w:w="1513" w:type="dxa"/>
          </w:tcPr>
          <w:p w14:paraId="2BCFB84C" w14:textId="30B74126"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29773</w:t>
            </w:r>
          </w:p>
        </w:tc>
        <w:tc>
          <w:tcPr>
            <w:tcW w:w="1879" w:type="dxa"/>
          </w:tcPr>
          <w:p w14:paraId="58FA2516" w14:textId="1E13F029" w:rsidR="00474A4F" w:rsidRDefault="00474A4F"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18606</w:t>
            </w:r>
          </w:p>
        </w:tc>
      </w:tr>
    </w:tbl>
    <w:p w14:paraId="5D4D995F" w14:textId="77777777" w:rsidR="00981ABB" w:rsidRDefault="00981ABB" w:rsidP="0077749C">
      <w:pPr>
        <w:jc w:val="both"/>
        <w:rPr>
          <w:rFonts w:ascii="Trebuchet MS" w:hAnsi="Trebuchet MS" w:cs="Verdana"/>
          <w:bCs/>
          <w:sz w:val="24"/>
          <w:szCs w:val="24"/>
        </w:rPr>
      </w:pPr>
    </w:p>
    <w:p w14:paraId="47E28C87" w14:textId="77777777" w:rsidR="00981ABB" w:rsidRDefault="00981ABB" w:rsidP="00981ABB">
      <w:pPr>
        <w:ind w:right="333"/>
        <w:jc w:val="center"/>
        <w:rPr>
          <w:rFonts w:ascii="Trebuchet MS" w:hAnsi="Trebuchet MS" w:cs="Arial"/>
          <w:b/>
          <w:bCs/>
          <w:sz w:val="24"/>
          <w:szCs w:val="24"/>
        </w:rPr>
      </w:pPr>
    </w:p>
    <w:p w14:paraId="0E0C50E1" w14:textId="0C9AF32E" w:rsidR="00981ABB" w:rsidRPr="00315EAB" w:rsidRDefault="00981ABB" w:rsidP="00981ABB">
      <w:pPr>
        <w:ind w:right="333"/>
        <w:jc w:val="center"/>
        <w:rPr>
          <w:rFonts w:ascii="Trebuchet MS" w:hAnsi="Trebuchet MS" w:cs="Arial"/>
          <w:b/>
          <w:bCs/>
          <w:sz w:val="24"/>
          <w:szCs w:val="24"/>
        </w:rPr>
      </w:pPr>
      <w:r>
        <w:rPr>
          <w:rFonts w:ascii="Trebuchet MS" w:hAnsi="Trebuchet MS" w:cs="Arial"/>
          <w:b/>
          <w:bCs/>
          <w:sz w:val="24"/>
          <w:szCs w:val="24"/>
        </w:rPr>
        <w:t xml:space="preserve">Table </w:t>
      </w:r>
      <w:r w:rsidR="00C66412">
        <w:rPr>
          <w:rFonts w:ascii="Trebuchet MS" w:hAnsi="Trebuchet MS" w:cs="Arial"/>
          <w:b/>
          <w:bCs/>
          <w:sz w:val="24"/>
          <w:szCs w:val="24"/>
        </w:rPr>
        <w:t>2</w:t>
      </w:r>
      <w:r>
        <w:rPr>
          <w:rFonts w:ascii="Trebuchet MS" w:hAnsi="Trebuchet MS" w:cs="Arial"/>
          <w:b/>
          <w:bCs/>
          <w:sz w:val="24"/>
          <w:szCs w:val="24"/>
        </w:rPr>
        <w:t>: Need Calculations for Black Country/ONS Figures (2022 affordability)</w:t>
      </w:r>
    </w:p>
    <w:p w14:paraId="09877EE4" w14:textId="77777777" w:rsidR="00981ABB" w:rsidRDefault="00981ABB" w:rsidP="00981ABB">
      <w:pPr>
        <w:spacing w:before="100" w:beforeAutospacing="1" w:after="100" w:afterAutospacing="1"/>
        <w:jc w:val="center"/>
        <w:rPr>
          <w:rFonts w:ascii="Trebuchet MS" w:hAnsi="Trebuchet MS"/>
          <w:sz w:val="24"/>
          <w:szCs w:val="24"/>
        </w:rPr>
      </w:pPr>
    </w:p>
    <w:tbl>
      <w:tblPr>
        <w:tblpPr w:leftFromText="180" w:rightFromText="180" w:vertAnchor="text" w:horzAnchor="margin" w:tblpXSpec="center"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1266"/>
        <w:gridCol w:w="2080"/>
        <w:gridCol w:w="1134"/>
        <w:gridCol w:w="1559"/>
        <w:gridCol w:w="1559"/>
      </w:tblGrid>
      <w:tr w:rsidR="00C66412" w:rsidRPr="0024699D" w14:paraId="3CDFAB5A" w14:textId="20BDEEA3" w:rsidTr="004B2C2E">
        <w:trPr>
          <w:trHeight w:val="1245"/>
        </w:trPr>
        <w:tc>
          <w:tcPr>
            <w:tcW w:w="1894" w:type="dxa"/>
            <w:shd w:val="clear" w:color="auto" w:fill="auto"/>
          </w:tcPr>
          <w:p w14:paraId="2E1B9851" w14:textId="77777777" w:rsidR="00C66412" w:rsidRPr="0024699D" w:rsidRDefault="00C66412" w:rsidP="004F019F">
            <w:pPr>
              <w:jc w:val="center"/>
              <w:rPr>
                <w:rFonts w:ascii="Trebuchet MS" w:eastAsia="Calibri" w:hAnsi="Trebuchet MS" w:cs="Verdana"/>
                <w:bCs/>
                <w:color w:val="000000"/>
                <w:sz w:val="24"/>
                <w:szCs w:val="24"/>
              </w:rPr>
            </w:pPr>
            <w:r w:rsidRPr="0024699D">
              <w:rPr>
                <w:rFonts w:ascii="Trebuchet MS" w:eastAsia="Calibri" w:hAnsi="Trebuchet MS" w:cs="Verdana"/>
                <w:bCs/>
                <w:color w:val="000000"/>
                <w:sz w:val="24"/>
                <w:szCs w:val="24"/>
              </w:rPr>
              <w:t>Black Country Housing Need</w:t>
            </w:r>
          </w:p>
          <w:p w14:paraId="73AF2AB2" w14:textId="77777777" w:rsidR="00C66412" w:rsidRPr="0024699D" w:rsidRDefault="00C66412" w:rsidP="004F019F">
            <w:pPr>
              <w:jc w:val="center"/>
              <w:rPr>
                <w:rFonts w:ascii="Trebuchet MS" w:eastAsia="Calibri" w:hAnsi="Trebuchet MS" w:cs="Verdana"/>
                <w:bCs/>
                <w:color w:val="000000"/>
                <w:sz w:val="24"/>
                <w:szCs w:val="24"/>
              </w:rPr>
            </w:pPr>
            <w:r w:rsidRPr="0024699D">
              <w:rPr>
                <w:rFonts w:ascii="Trebuchet MS" w:eastAsia="Calibri" w:hAnsi="Trebuchet MS" w:cs="Verdana"/>
                <w:bCs/>
                <w:color w:val="000000"/>
                <w:sz w:val="24"/>
                <w:szCs w:val="24"/>
              </w:rPr>
              <w:t>20</w:t>
            </w:r>
            <w:r>
              <w:rPr>
                <w:rFonts w:ascii="Trebuchet MS" w:eastAsia="Calibri" w:hAnsi="Trebuchet MS" w:cs="Verdana"/>
                <w:bCs/>
                <w:color w:val="000000"/>
                <w:sz w:val="24"/>
                <w:szCs w:val="24"/>
              </w:rPr>
              <w:t>30</w:t>
            </w:r>
            <w:r w:rsidRPr="0024699D">
              <w:rPr>
                <w:rFonts w:ascii="Trebuchet MS" w:eastAsia="Calibri" w:hAnsi="Trebuchet MS" w:cs="Verdana"/>
                <w:bCs/>
                <w:color w:val="000000"/>
                <w:sz w:val="24"/>
                <w:szCs w:val="24"/>
              </w:rPr>
              <w:t>-20</w:t>
            </w:r>
            <w:r>
              <w:rPr>
                <w:rFonts w:ascii="Trebuchet MS" w:eastAsia="Calibri" w:hAnsi="Trebuchet MS" w:cs="Verdana"/>
                <w:bCs/>
                <w:color w:val="000000"/>
                <w:sz w:val="24"/>
                <w:szCs w:val="24"/>
              </w:rPr>
              <w:t>39 (including affordability uplift)</w:t>
            </w:r>
          </w:p>
        </w:tc>
        <w:tc>
          <w:tcPr>
            <w:tcW w:w="1266" w:type="dxa"/>
          </w:tcPr>
          <w:p w14:paraId="2205F59D" w14:textId="77777777" w:rsidR="00C66412" w:rsidRPr="00DE082E" w:rsidRDefault="00C66412" w:rsidP="004F019F">
            <w:pPr>
              <w:jc w:val="center"/>
              <w:rPr>
                <w:rFonts w:ascii="Trebuchet MS" w:eastAsia="Calibri" w:hAnsi="Trebuchet MS" w:cs="Verdana"/>
                <w:bCs/>
                <w:color w:val="000000"/>
                <w:sz w:val="24"/>
                <w:szCs w:val="24"/>
              </w:rPr>
            </w:pPr>
            <w:r w:rsidRPr="00DE082E">
              <w:rPr>
                <w:rFonts w:ascii="Trebuchet MS" w:eastAsia="Calibri" w:hAnsi="Trebuchet MS" w:cs="Verdana"/>
                <w:bCs/>
                <w:color w:val="000000"/>
                <w:sz w:val="24"/>
                <w:szCs w:val="24"/>
              </w:rPr>
              <w:t>Annual rate</w:t>
            </w:r>
          </w:p>
        </w:tc>
        <w:tc>
          <w:tcPr>
            <w:tcW w:w="2080" w:type="dxa"/>
            <w:shd w:val="clear" w:color="auto" w:fill="auto"/>
          </w:tcPr>
          <w:p w14:paraId="59AC40C1" w14:textId="77777777" w:rsidR="00C66412" w:rsidRPr="0024699D"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With 35% extra for Wolverhampton</w:t>
            </w:r>
          </w:p>
        </w:tc>
        <w:tc>
          <w:tcPr>
            <w:tcW w:w="1134" w:type="dxa"/>
          </w:tcPr>
          <w:p w14:paraId="403D1936" w14:textId="77777777"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Plan Period (19 Years)</w:t>
            </w:r>
          </w:p>
        </w:tc>
        <w:tc>
          <w:tcPr>
            <w:tcW w:w="1559" w:type="dxa"/>
            <w:shd w:val="clear" w:color="auto" w:fill="auto"/>
          </w:tcPr>
          <w:p w14:paraId="02FCF214" w14:textId="77777777" w:rsidR="00C66412" w:rsidRPr="0024699D"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Plan Period (19 Years +35% for Wolverhampton)</w:t>
            </w:r>
          </w:p>
        </w:tc>
        <w:tc>
          <w:tcPr>
            <w:tcW w:w="1559" w:type="dxa"/>
          </w:tcPr>
          <w:p w14:paraId="31789B7D" w14:textId="0DD67735" w:rsidR="00C66412" w:rsidRDefault="00C66412" w:rsidP="004F019F">
            <w:pPr>
              <w:jc w:val="center"/>
              <w:rPr>
                <w:rFonts w:ascii="Trebuchet MS" w:eastAsia="Calibri" w:hAnsi="Trebuchet MS" w:cs="Verdana"/>
                <w:bCs/>
                <w:color w:val="000000"/>
                <w:sz w:val="24"/>
                <w:szCs w:val="24"/>
              </w:rPr>
            </w:pPr>
            <w:r>
              <w:rPr>
                <w:rFonts w:ascii="Trebuchet MS" w:hAnsi="Trebuchet MS" w:cs="Arial"/>
                <w:sz w:val="24"/>
                <w:szCs w:val="24"/>
              </w:rPr>
              <w:t>Shortfall based on brownfield supply of 40,117 (BCP 2021)</w:t>
            </w:r>
          </w:p>
        </w:tc>
      </w:tr>
      <w:tr w:rsidR="00C66412" w:rsidRPr="0024699D" w14:paraId="5AB6AB67" w14:textId="7AF1CDB1" w:rsidTr="004B2C2E">
        <w:trPr>
          <w:trHeight w:val="281"/>
        </w:trPr>
        <w:tc>
          <w:tcPr>
            <w:tcW w:w="1894" w:type="dxa"/>
            <w:shd w:val="clear" w:color="auto" w:fill="auto"/>
          </w:tcPr>
          <w:p w14:paraId="6BBD7D7A" w14:textId="77777777" w:rsidR="00C66412" w:rsidRPr="0024699D"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SM ONS 2018</w:t>
            </w:r>
          </w:p>
        </w:tc>
        <w:tc>
          <w:tcPr>
            <w:tcW w:w="1266" w:type="dxa"/>
          </w:tcPr>
          <w:p w14:paraId="5F83A3BC" w14:textId="77777777" w:rsidR="00C66412" w:rsidRPr="000E283F" w:rsidRDefault="00C66412" w:rsidP="004F019F">
            <w:pPr>
              <w:jc w:val="center"/>
              <w:rPr>
                <w:rFonts w:ascii="Trebuchet MS" w:eastAsia="Calibri" w:hAnsi="Trebuchet MS" w:cs="Verdana"/>
                <w:bCs/>
                <w:sz w:val="24"/>
                <w:szCs w:val="24"/>
              </w:rPr>
            </w:pPr>
            <w:r>
              <w:rPr>
                <w:rFonts w:ascii="Trebuchet MS" w:eastAsia="Calibri" w:hAnsi="Trebuchet MS" w:cs="Verdana"/>
                <w:bCs/>
                <w:sz w:val="24"/>
                <w:szCs w:val="24"/>
              </w:rPr>
              <w:t>3440</w:t>
            </w:r>
          </w:p>
        </w:tc>
        <w:tc>
          <w:tcPr>
            <w:tcW w:w="2080" w:type="dxa"/>
            <w:shd w:val="clear" w:color="auto" w:fill="auto"/>
          </w:tcPr>
          <w:p w14:paraId="582D4B39" w14:textId="77777777"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3679</w:t>
            </w:r>
          </w:p>
        </w:tc>
        <w:tc>
          <w:tcPr>
            <w:tcW w:w="1134" w:type="dxa"/>
          </w:tcPr>
          <w:p w14:paraId="5CABA112" w14:textId="77777777"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65360</w:t>
            </w:r>
          </w:p>
        </w:tc>
        <w:tc>
          <w:tcPr>
            <w:tcW w:w="1559" w:type="dxa"/>
            <w:shd w:val="clear" w:color="auto" w:fill="auto"/>
          </w:tcPr>
          <w:p w14:paraId="3F4F27CD" w14:textId="77777777"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69901</w:t>
            </w:r>
          </w:p>
        </w:tc>
        <w:tc>
          <w:tcPr>
            <w:tcW w:w="1559" w:type="dxa"/>
          </w:tcPr>
          <w:p w14:paraId="296D03DA" w14:textId="272DA465"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2784</w:t>
            </w:r>
          </w:p>
        </w:tc>
      </w:tr>
      <w:tr w:rsidR="00C66412" w:rsidRPr="0024699D" w14:paraId="33AD2025" w14:textId="5639821C" w:rsidTr="004B2C2E">
        <w:trPr>
          <w:trHeight w:val="281"/>
        </w:trPr>
        <w:tc>
          <w:tcPr>
            <w:tcW w:w="1894" w:type="dxa"/>
            <w:shd w:val="clear" w:color="auto" w:fill="auto"/>
          </w:tcPr>
          <w:p w14:paraId="2CDA76A5" w14:textId="77777777" w:rsidR="00C66412" w:rsidRPr="0024699D" w:rsidRDefault="00C66412" w:rsidP="004F019F">
            <w:pPr>
              <w:jc w:val="center"/>
              <w:rPr>
                <w:rFonts w:ascii="Trebuchet MS" w:eastAsia="Calibri" w:hAnsi="Trebuchet MS" w:cs="Verdana"/>
                <w:bCs/>
                <w:color w:val="000000"/>
                <w:sz w:val="24"/>
                <w:szCs w:val="24"/>
              </w:rPr>
            </w:pPr>
            <w:r w:rsidRPr="0024699D">
              <w:rPr>
                <w:rFonts w:ascii="Trebuchet MS" w:eastAsia="Calibri" w:hAnsi="Trebuchet MS" w:cs="Verdana"/>
                <w:bCs/>
                <w:color w:val="000000"/>
                <w:sz w:val="24"/>
                <w:szCs w:val="24"/>
              </w:rPr>
              <w:t>SM ONS 2016</w:t>
            </w:r>
          </w:p>
        </w:tc>
        <w:tc>
          <w:tcPr>
            <w:tcW w:w="1266" w:type="dxa"/>
          </w:tcPr>
          <w:p w14:paraId="540664D1" w14:textId="77777777" w:rsidR="00C66412" w:rsidRPr="000E283F" w:rsidRDefault="00C66412" w:rsidP="004F019F">
            <w:pPr>
              <w:jc w:val="center"/>
              <w:rPr>
                <w:rFonts w:ascii="Trebuchet MS" w:eastAsia="Calibri" w:hAnsi="Trebuchet MS" w:cs="Verdana"/>
                <w:bCs/>
                <w:sz w:val="24"/>
                <w:szCs w:val="24"/>
              </w:rPr>
            </w:pPr>
            <w:r>
              <w:rPr>
                <w:rFonts w:ascii="Trebuchet MS" w:eastAsia="Calibri" w:hAnsi="Trebuchet MS" w:cs="Verdana"/>
                <w:bCs/>
                <w:sz w:val="24"/>
                <w:szCs w:val="24"/>
              </w:rPr>
              <w:t>3068</w:t>
            </w:r>
          </w:p>
        </w:tc>
        <w:tc>
          <w:tcPr>
            <w:tcW w:w="2080" w:type="dxa"/>
            <w:shd w:val="clear" w:color="auto" w:fill="auto"/>
          </w:tcPr>
          <w:p w14:paraId="14568DB4" w14:textId="77777777" w:rsidR="00C66412" w:rsidRPr="0024699D"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3293</w:t>
            </w:r>
          </w:p>
        </w:tc>
        <w:tc>
          <w:tcPr>
            <w:tcW w:w="1134" w:type="dxa"/>
          </w:tcPr>
          <w:p w14:paraId="5786FBD2" w14:textId="77777777"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58292</w:t>
            </w:r>
          </w:p>
        </w:tc>
        <w:tc>
          <w:tcPr>
            <w:tcW w:w="1559" w:type="dxa"/>
            <w:shd w:val="clear" w:color="auto" w:fill="auto"/>
          </w:tcPr>
          <w:p w14:paraId="7077816D" w14:textId="77777777" w:rsidR="00C66412" w:rsidRPr="0024699D"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62567</w:t>
            </w:r>
          </w:p>
        </w:tc>
        <w:tc>
          <w:tcPr>
            <w:tcW w:w="1559" w:type="dxa"/>
          </w:tcPr>
          <w:p w14:paraId="774143AF" w14:textId="6A811B64"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22450</w:t>
            </w:r>
          </w:p>
        </w:tc>
      </w:tr>
      <w:tr w:rsidR="00C66412" w:rsidRPr="0024699D" w14:paraId="79689781" w14:textId="1DCE96C6" w:rsidTr="004B2C2E">
        <w:trPr>
          <w:trHeight w:val="281"/>
        </w:trPr>
        <w:tc>
          <w:tcPr>
            <w:tcW w:w="1894" w:type="dxa"/>
            <w:shd w:val="clear" w:color="auto" w:fill="auto"/>
          </w:tcPr>
          <w:p w14:paraId="13B6F480" w14:textId="77777777" w:rsidR="00C66412" w:rsidRPr="0024699D" w:rsidRDefault="00C66412" w:rsidP="004F019F">
            <w:pPr>
              <w:jc w:val="center"/>
              <w:rPr>
                <w:rFonts w:ascii="Trebuchet MS" w:eastAsia="Calibri" w:hAnsi="Trebuchet MS" w:cs="Verdana"/>
                <w:bCs/>
                <w:color w:val="000000"/>
                <w:sz w:val="24"/>
                <w:szCs w:val="24"/>
              </w:rPr>
            </w:pPr>
            <w:r w:rsidRPr="0024699D">
              <w:rPr>
                <w:rFonts w:ascii="Trebuchet MS" w:eastAsia="Calibri" w:hAnsi="Trebuchet MS" w:cs="Verdana"/>
                <w:bCs/>
                <w:color w:val="000000"/>
                <w:sz w:val="24"/>
                <w:szCs w:val="24"/>
              </w:rPr>
              <w:t>SM ONS 2014</w:t>
            </w:r>
          </w:p>
        </w:tc>
        <w:tc>
          <w:tcPr>
            <w:tcW w:w="1266" w:type="dxa"/>
          </w:tcPr>
          <w:p w14:paraId="6CCE89CB" w14:textId="77777777" w:rsidR="00C66412" w:rsidRPr="000E283F" w:rsidRDefault="00C66412" w:rsidP="004F019F">
            <w:pPr>
              <w:jc w:val="center"/>
              <w:rPr>
                <w:rFonts w:ascii="Trebuchet MS" w:eastAsia="Calibri" w:hAnsi="Trebuchet MS" w:cs="Verdana"/>
                <w:bCs/>
                <w:sz w:val="24"/>
                <w:szCs w:val="24"/>
              </w:rPr>
            </w:pPr>
            <w:r>
              <w:rPr>
                <w:rFonts w:ascii="Trebuchet MS" w:eastAsia="Calibri" w:hAnsi="Trebuchet MS" w:cs="Verdana"/>
                <w:bCs/>
                <w:sz w:val="24"/>
                <w:szCs w:val="24"/>
              </w:rPr>
              <w:t>3872</w:t>
            </w:r>
          </w:p>
        </w:tc>
        <w:tc>
          <w:tcPr>
            <w:tcW w:w="2080" w:type="dxa"/>
            <w:shd w:val="clear" w:color="auto" w:fill="auto"/>
          </w:tcPr>
          <w:p w14:paraId="4A8932E5" w14:textId="77777777" w:rsidR="00C66412" w:rsidRPr="0024699D"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4151</w:t>
            </w:r>
          </w:p>
        </w:tc>
        <w:tc>
          <w:tcPr>
            <w:tcW w:w="1134" w:type="dxa"/>
          </w:tcPr>
          <w:p w14:paraId="0C7268AA" w14:textId="77777777"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73568</w:t>
            </w:r>
          </w:p>
        </w:tc>
        <w:tc>
          <w:tcPr>
            <w:tcW w:w="1559" w:type="dxa"/>
            <w:shd w:val="clear" w:color="auto" w:fill="auto"/>
          </w:tcPr>
          <w:p w14:paraId="1C2603B2" w14:textId="77777777" w:rsidR="00C66412" w:rsidRPr="0024699D"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78869</w:t>
            </w:r>
          </w:p>
        </w:tc>
        <w:tc>
          <w:tcPr>
            <w:tcW w:w="1559" w:type="dxa"/>
          </w:tcPr>
          <w:p w14:paraId="197AE9B2" w14:textId="1D088272" w:rsidR="00C66412" w:rsidRDefault="00C66412" w:rsidP="004F019F">
            <w:pPr>
              <w:jc w:val="center"/>
              <w:rPr>
                <w:rFonts w:ascii="Trebuchet MS" w:eastAsia="Calibri" w:hAnsi="Trebuchet MS" w:cs="Verdana"/>
                <w:bCs/>
                <w:color w:val="000000"/>
                <w:sz w:val="24"/>
                <w:szCs w:val="24"/>
              </w:rPr>
            </w:pPr>
            <w:r>
              <w:rPr>
                <w:rFonts w:ascii="Trebuchet MS" w:eastAsia="Calibri" w:hAnsi="Trebuchet MS" w:cs="Verdana"/>
                <w:bCs/>
                <w:color w:val="000000"/>
                <w:sz w:val="24"/>
                <w:szCs w:val="24"/>
              </w:rPr>
              <w:t>33451</w:t>
            </w:r>
          </w:p>
        </w:tc>
      </w:tr>
    </w:tbl>
    <w:p w14:paraId="2D08E281" w14:textId="77777777" w:rsidR="00981ABB" w:rsidRDefault="00981ABB" w:rsidP="0077749C">
      <w:pPr>
        <w:jc w:val="both"/>
        <w:rPr>
          <w:rFonts w:ascii="Trebuchet MS" w:hAnsi="Trebuchet MS" w:cs="Verdana"/>
          <w:bCs/>
          <w:sz w:val="24"/>
          <w:szCs w:val="24"/>
        </w:rPr>
      </w:pPr>
    </w:p>
    <w:p w14:paraId="618B4A5E" w14:textId="77777777" w:rsidR="00FB77D7" w:rsidRDefault="00FB77D7" w:rsidP="0077749C">
      <w:pPr>
        <w:jc w:val="both"/>
        <w:rPr>
          <w:rFonts w:ascii="Trebuchet MS" w:hAnsi="Trebuchet MS" w:cs="Verdana"/>
          <w:bCs/>
          <w:sz w:val="24"/>
          <w:szCs w:val="24"/>
        </w:rPr>
      </w:pPr>
    </w:p>
    <w:p w14:paraId="71373C5A" w14:textId="77777777" w:rsidR="00270123" w:rsidRDefault="00270123" w:rsidP="00DC1E0C">
      <w:pPr>
        <w:spacing w:before="100" w:beforeAutospacing="1" w:after="100" w:afterAutospacing="1"/>
        <w:ind w:left="-1"/>
        <w:jc w:val="both"/>
        <w:rPr>
          <w:rFonts w:ascii="Trebuchet MS" w:hAnsi="Trebuchet MS"/>
          <w:sz w:val="24"/>
          <w:szCs w:val="24"/>
        </w:rPr>
      </w:pPr>
    </w:p>
    <w:p w14:paraId="05DA2AFB" w14:textId="0087B4FF" w:rsidR="00981ABB" w:rsidRDefault="00482EA5" w:rsidP="00DC1E0C">
      <w:pPr>
        <w:spacing w:before="100" w:beforeAutospacing="1" w:after="100" w:afterAutospacing="1"/>
        <w:ind w:left="-1"/>
        <w:jc w:val="both"/>
        <w:rPr>
          <w:rFonts w:ascii="Trebuchet MS" w:hAnsi="Trebuchet MS"/>
          <w:sz w:val="24"/>
          <w:szCs w:val="24"/>
        </w:rPr>
      </w:pPr>
      <w:r>
        <w:rPr>
          <w:rFonts w:ascii="Trebuchet MS" w:hAnsi="Trebuchet MS"/>
          <w:sz w:val="24"/>
          <w:szCs w:val="24"/>
        </w:rPr>
        <w:lastRenderedPageBreak/>
        <w:t xml:space="preserve">2.3 </w:t>
      </w:r>
      <w:r w:rsidR="00981ABB">
        <w:rPr>
          <w:rFonts w:ascii="Trebuchet MS" w:hAnsi="Trebuchet MS"/>
          <w:sz w:val="24"/>
          <w:szCs w:val="24"/>
        </w:rPr>
        <w:t>Notably, i</w:t>
      </w:r>
      <w:r w:rsidR="00F5033C">
        <w:rPr>
          <w:rFonts w:ascii="Trebuchet MS" w:hAnsi="Trebuchet MS"/>
          <w:sz w:val="24"/>
          <w:szCs w:val="24"/>
        </w:rPr>
        <w:t>n t</w:t>
      </w:r>
      <w:r w:rsidR="00114528" w:rsidRPr="00BD5E95">
        <w:rPr>
          <w:rFonts w:ascii="Trebuchet MS" w:hAnsi="Trebuchet MS"/>
          <w:sz w:val="24"/>
          <w:szCs w:val="24"/>
        </w:rPr>
        <w:t xml:space="preserve">he most recent ONS </w:t>
      </w:r>
      <w:r w:rsidR="00114528">
        <w:rPr>
          <w:rFonts w:ascii="Trebuchet MS" w:hAnsi="Trebuchet MS"/>
          <w:sz w:val="24"/>
          <w:szCs w:val="24"/>
        </w:rPr>
        <w:t>hous</w:t>
      </w:r>
      <w:r w:rsidR="00F5033C">
        <w:rPr>
          <w:rFonts w:ascii="Trebuchet MS" w:hAnsi="Trebuchet MS"/>
          <w:sz w:val="24"/>
          <w:szCs w:val="24"/>
        </w:rPr>
        <w:t>ehold</w:t>
      </w:r>
      <w:r w:rsidR="00A10986">
        <w:rPr>
          <w:rFonts w:ascii="Trebuchet MS" w:hAnsi="Trebuchet MS"/>
          <w:sz w:val="24"/>
          <w:szCs w:val="24"/>
        </w:rPr>
        <w:t xml:space="preserve"> </w:t>
      </w:r>
      <w:r w:rsidR="00114528" w:rsidRPr="00BD5E95">
        <w:rPr>
          <w:rFonts w:ascii="Trebuchet MS" w:hAnsi="Trebuchet MS"/>
          <w:sz w:val="24"/>
          <w:szCs w:val="24"/>
        </w:rPr>
        <w:t>projections for the UK (2018) the population reach</w:t>
      </w:r>
      <w:r w:rsidR="00F5033C">
        <w:rPr>
          <w:rFonts w:ascii="Trebuchet MS" w:hAnsi="Trebuchet MS"/>
          <w:sz w:val="24"/>
          <w:szCs w:val="24"/>
        </w:rPr>
        <w:t>es</w:t>
      </w:r>
      <w:r w:rsidR="00114528" w:rsidRPr="00BD5E95">
        <w:rPr>
          <w:rFonts w:ascii="Trebuchet MS" w:hAnsi="Trebuchet MS"/>
          <w:sz w:val="24"/>
          <w:szCs w:val="24"/>
        </w:rPr>
        <w:t xml:space="preserve"> 72.4 million by mid-2043</w:t>
      </w:r>
      <w:r w:rsidR="00F5033C">
        <w:rPr>
          <w:rFonts w:ascii="Trebuchet MS" w:hAnsi="Trebuchet MS"/>
          <w:sz w:val="24"/>
          <w:szCs w:val="24"/>
        </w:rPr>
        <w:t xml:space="preserve">, an even </w:t>
      </w:r>
      <w:r w:rsidR="00114528" w:rsidRPr="00BD5E95">
        <w:rPr>
          <w:rFonts w:ascii="Trebuchet MS" w:hAnsi="Trebuchet MS"/>
          <w:sz w:val="24"/>
          <w:szCs w:val="24"/>
        </w:rPr>
        <w:t xml:space="preserve">slower growth rate than in the 2016-based projections, </w:t>
      </w:r>
      <w:r w:rsidR="00114528">
        <w:rPr>
          <w:rFonts w:ascii="Trebuchet MS" w:hAnsi="Trebuchet MS"/>
          <w:sz w:val="24"/>
          <w:szCs w:val="24"/>
        </w:rPr>
        <w:t xml:space="preserve">that is to say </w:t>
      </w:r>
      <w:r w:rsidR="00114528" w:rsidRPr="00BD5E95">
        <w:rPr>
          <w:rFonts w:ascii="Trebuchet MS" w:hAnsi="Trebuchet MS"/>
          <w:sz w:val="24"/>
          <w:szCs w:val="24"/>
        </w:rPr>
        <w:t>a reduction of 0.9 million in mid-2043</w:t>
      </w:r>
      <w:r w:rsidR="00114528">
        <w:rPr>
          <w:rFonts w:ascii="Trebuchet MS" w:hAnsi="Trebuchet MS"/>
          <w:sz w:val="24"/>
          <w:szCs w:val="24"/>
        </w:rPr>
        <w:t>. However, th</w:t>
      </w:r>
      <w:r w:rsidR="00F5033C">
        <w:rPr>
          <w:rFonts w:ascii="Trebuchet MS" w:hAnsi="Trebuchet MS"/>
          <w:sz w:val="24"/>
          <w:szCs w:val="24"/>
        </w:rPr>
        <w:t xml:space="preserve">ose projections </w:t>
      </w:r>
      <w:r w:rsidR="00114528">
        <w:rPr>
          <w:rFonts w:ascii="Trebuchet MS" w:hAnsi="Trebuchet MS"/>
          <w:sz w:val="24"/>
          <w:szCs w:val="24"/>
        </w:rPr>
        <w:t>also substantially alter the distribution of houses</w:t>
      </w:r>
      <w:r w:rsidR="00F5033C">
        <w:rPr>
          <w:rFonts w:ascii="Trebuchet MS" w:hAnsi="Trebuchet MS"/>
          <w:sz w:val="24"/>
          <w:szCs w:val="24"/>
        </w:rPr>
        <w:t xml:space="preserve">. </w:t>
      </w:r>
    </w:p>
    <w:p w14:paraId="2B934FDD" w14:textId="10BC12DF" w:rsidR="00DC1E0C" w:rsidRDefault="00482EA5" w:rsidP="00DC1E0C">
      <w:pPr>
        <w:spacing w:before="100" w:beforeAutospacing="1" w:after="100" w:afterAutospacing="1"/>
        <w:ind w:left="-1"/>
        <w:jc w:val="both"/>
        <w:rPr>
          <w:rFonts w:ascii="Trebuchet MS" w:hAnsi="Trebuchet MS"/>
          <w:sz w:val="24"/>
          <w:szCs w:val="24"/>
        </w:rPr>
      </w:pPr>
      <w:r>
        <w:rPr>
          <w:rFonts w:ascii="Trebuchet MS" w:hAnsi="Trebuchet MS"/>
          <w:sz w:val="24"/>
          <w:szCs w:val="24"/>
        </w:rPr>
        <w:t xml:space="preserve">2.4 </w:t>
      </w:r>
      <w:r w:rsidR="00114528">
        <w:rPr>
          <w:rFonts w:ascii="Trebuchet MS" w:hAnsi="Trebuchet MS"/>
          <w:sz w:val="24"/>
          <w:szCs w:val="24"/>
        </w:rPr>
        <w:t>A key reason for this is changes in the underlying NHS registration data which means the 2018 figures rely on only two-year trends.</w:t>
      </w:r>
      <w:r w:rsidR="00F5033C">
        <w:rPr>
          <w:rFonts w:ascii="Trebuchet MS" w:hAnsi="Trebuchet MS"/>
          <w:sz w:val="24"/>
          <w:szCs w:val="24"/>
        </w:rPr>
        <w:t xml:space="preserve"> As a result</w:t>
      </w:r>
      <w:r w:rsidR="009456C1">
        <w:rPr>
          <w:rFonts w:ascii="Trebuchet MS" w:hAnsi="Trebuchet MS"/>
          <w:sz w:val="24"/>
          <w:szCs w:val="24"/>
        </w:rPr>
        <w:t>,</w:t>
      </w:r>
      <w:r w:rsidR="00F5033C">
        <w:rPr>
          <w:rFonts w:ascii="Trebuchet MS" w:hAnsi="Trebuchet MS"/>
          <w:sz w:val="24"/>
          <w:szCs w:val="24"/>
        </w:rPr>
        <w:t xml:space="preserve"> the Black Country </w:t>
      </w:r>
      <w:r w:rsidR="00C66412">
        <w:rPr>
          <w:rFonts w:ascii="Trebuchet MS" w:hAnsi="Trebuchet MS"/>
          <w:sz w:val="24"/>
          <w:szCs w:val="24"/>
        </w:rPr>
        <w:t xml:space="preserve">urban </w:t>
      </w:r>
      <w:r w:rsidR="00F5033C">
        <w:rPr>
          <w:rFonts w:ascii="Trebuchet MS" w:hAnsi="Trebuchet MS"/>
          <w:sz w:val="24"/>
          <w:szCs w:val="24"/>
        </w:rPr>
        <w:t xml:space="preserve">shortfall </w:t>
      </w:r>
      <w:r w:rsidR="00C66412">
        <w:rPr>
          <w:rFonts w:ascii="Trebuchet MS" w:hAnsi="Trebuchet MS"/>
          <w:sz w:val="24"/>
          <w:szCs w:val="24"/>
        </w:rPr>
        <w:t xml:space="preserve">(not including Green Belt) </w:t>
      </w:r>
      <w:r w:rsidR="00F5033C">
        <w:rPr>
          <w:rFonts w:ascii="Trebuchet MS" w:hAnsi="Trebuchet MS"/>
          <w:sz w:val="24"/>
          <w:szCs w:val="24"/>
        </w:rPr>
        <w:t xml:space="preserve">with similar </w:t>
      </w:r>
      <w:r w:rsidR="00C66412">
        <w:rPr>
          <w:rFonts w:ascii="Trebuchet MS" w:hAnsi="Trebuchet MS"/>
          <w:sz w:val="24"/>
          <w:szCs w:val="24"/>
        </w:rPr>
        <w:t xml:space="preserve">supply </w:t>
      </w:r>
      <w:r w:rsidR="00F5033C">
        <w:rPr>
          <w:rFonts w:ascii="Trebuchet MS" w:hAnsi="Trebuchet MS"/>
          <w:sz w:val="24"/>
          <w:szCs w:val="24"/>
        </w:rPr>
        <w:t>assumptions rises</w:t>
      </w:r>
      <w:r w:rsidR="00C66412">
        <w:rPr>
          <w:rFonts w:ascii="Trebuchet MS" w:hAnsi="Trebuchet MS"/>
          <w:sz w:val="24"/>
          <w:szCs w:val="24"/>
        </w:rPr>
        <w:t xml:space="preserve"> but the Sandwell shortfall falls </w:t>
      </w:r>
      <w:r w:rsidR="00576FA1">
        <w:rPr>
          <w:rFonts w:ascii="Trebuchet MS" w:hAnsi="Trebuchet MS"/>
          <w:sz w:val="24"/>
          <w:szCs w:val="24"/>
        </w:rPr>
        <w:t>ev</w:t>
      </w:r>
      <w:r w:rsidR="00C66412">
        <w:rPr>
          <w:rFonts w:ascii="Trebuchet MS" w:hAnsi="Trebuchet MS"/>
          <w:sz w:val="24"/>
          <w:szCs w:val="24"/>
        </w:rPr>
        <w:t>en further</w:t>
      </w:r>
      <w:r w:rsidR="00F5033C">
        <w:rPr>
          <w:rFonts w:ascii="Trebuchet MS" w:hAnsi="Trebuchet MS"/>
          <w:sz w:val="24"/>
          <w:szCs w:val="24"/>
        </w:rPr>
        <w:t>.</w:t>
      </w:r>
    </w:p>
    <w:p w14:paraId="50AF4BF8" w14:textId="317BF08D" w:rsidR="00474A4F" w:rsidRDefault="00482EA5" w:rsidP="00474A4F">
      <w:pPr>
        <w:spacing w:before="100" w:beforeAutospacing="1" w:after="100" w:afterAutospacing="1"/>
        <w:ind w:left="-1"/>
        <w:jc w:val="both"/>
        <w:rPr>
          <w:rFonts w:ascii="Trebuchet MS" w:hAnsi="Trebuchet MS"/>
          <w:sz w:val="24"/>
          <w:szCs w:val="24"/>
        </w:rPr>
      </w:pPr>
      <w:r>
        <w:rPr>
          <w:rFonts w:ascii="Trebuchet MS" w:hAnsi="Trebuchet MS"/>
          <w:sz w:val="24"/>
          <w:szCs w:val="24"/>
        </w:rPr>
        <w:t xml:space="preserve">2.5 </w:t>
      </w:r>
      <w:r w:rsidR="00C66412">
        <w:rPr>
          <w:rFonts w:ascii="Trebuchet MS" w:hAnsi="Trebuchet MS"/>
          <w:sz w:val="24"/>
          <w:szCs w:val="24"/>
        </w:rPr>
        <w:t>It can be seen, however, that the use of the 2014 ONS figures dramatically impa</w:t>
      </w:r>
      <w:r w:rsidR="00576FA1">
        <w:rPr>
          <w:rFonts w:ascii="Trebuchet MS" w:hAnsi="Trebuchet MS"/>
          <w:sz w:val="24"/>
          <w:szCs w:val="24"/>
        </w:rPr>
        <w:t>cts</w:t>
      </w:r>
      <w:r w:rsidR="00C66412">
        <w:rPr>
          <w:rFonts w:ascii="Trebuchet MS" w:hAnsi="Trebuchet MS"/>
          <w:sz w:val="24"/>
          <w:szCs w:val="24"/>
        </w:rPr>
        <w:t xml:space="preserve"> on</w:t>
      </w:r>
      <w:r w:rsidR="00576FA1">
        <w:rPr>
          <w:rFonts w:ascii="Trebuchet MS" w:hAnsi="Trebuchet MS"/>
          <w:sz w:val="24"/>
          <w:szCs w:val="24"/>
        </w:rPr>
        <w:t xml:space="preserve"> Sandwell’s housing need</w:t>
      </w:r>
      <w:r w:rsidR="00C66412">
        <w:rPr>
          <w:rFonts w:ascii="Trebuchet MS" w:hAnsi="Trebuchet MS"/>
          <w:sz w:val="24"/>
          <w:szCs w:val="24"/>
        </w:rPr>
        <w:t xml:space="preserve">. </w:t>
      </w:r>
    </w:p>
    <w:p w14:paraId="16C863C1" w14:textId="3733E12E" w:rsidR="00F0600C" w:rsidRDefault="00482EA5" w:rsidP="00474A4F">
      <w:pPr>
        <w:spacing w:before="100" w:beforeAutospacing="1" w:after="100" w:afterAutospacing="1"/>
        <w:ind w:left="-1"/>
        <w:jc w:val="both"/>
        <w:rPr>
          <w:rFonts w:ascii="Trebuchet MS" w:hAnsi="Trebuchet MS" w:cs="Verdana"/>
          <w:color w:val="000000"/>
          <w:sz w:val="24"/>
          <w:szCs w:val="24"/>
          <w:lang w:val="en-GB"/>
        </w:rPr>
      </w:pPr>
      <w:r>
        <w:rPr>
          <w:rFonts w:ascii="Trebuchet MS" w:hAnsi="Trebuchet MS"/>
          <w:sz w:val="24"/>
          <w:szCs w:val="24"/>
        </w:rPr>
        <w:t xml:space="preserve">2.6 </w:t>
      </w:r>
      <w:r w:rsidR="00DC24DA">
        <w:rPr>
          <w:rFonts w:ascii="Trebuchet MS" w:hAnsi="Trebuchet MS"/>
          <w:sz w:val="24"/>
          <w:szCs w:val="24"/>
        </w:rPr>
        <w:t>It should also be noted that, while the National Planning Policy Guidance discourages the u</w:t>
      </w:r>
      <w:r w:rsidR="00F0600C">
        <w:rPr>
          <w:rFonts w:ascii="Trebuchet MS" w:hAnsi="Trebuchet MS"/>
          <w:sz w:val="24"/>
          <w:szCs w:val="24"/>
        </w:rPr>
        <w:t>s</w:t>
      </w:r>
      <w:r w:rsidR="00DC24DA">
        <w:rPr>
          <w:rFonts w:ascii="Trebuchet MS" w:hAnsi="Trebuchet MS"/>
          <w:sz w:val="24"/>
          <w:szCs w:val="24"/>
        </w:rPr>
        <w:t>e of a methodology which results in a lower housing requirement, there are appeal decis</w:t>
      </w:r>
      <w:r w:rsidR="00C63316">
        <w:rPr>
          <w:rFonts w:ascii="Trebuchet MS" w:hAnsi="Trebuchet MS"/>
          <w:sz w:val="24"/>
          <w:szCs w:val="24"/>
        </w:rPr>
        <w:t>io</w:t>
      </w:r>
      <w:r w:rsidR="00DC24DA">
        <w:rPr>
          <w:rFonts w:ascii="Trebuchet MS" w:hAnsi="Trebuchet MS"/>
          <w:sz w:val="24"/>
          <w:szCs w:val="24"/>
        </w:rPr>
        <w:t>ns (</w:t>
      </w:r>
      <w:r w:rsidR="00A10986">
        <w:rPr>
          <w:rFonts w:ascii="Trebuchet MS" w:hAnsi="Trebuchet MS"/>
          <w:sz w:val="24"/>
          <w:szCs w:val="24"/>
        </w:rPr>
        <w:t>e.g</w:t>
      </w:r>
      <w:r w:rsidR="00A10986" w:rsidRPr="00F0600C">
        <w:rPr>
          <w:rFonts w:ascii="Trebuchet MS" w:hAnsi="Trebuchet MS"/>
          <w:sz w:val="24"/>
          <w:szCs w:val="24"/>
        </w:rPr>
        <w:t>.,</w:t>
      </w:r>
      <w:r w:rsidR="00A10986">
        <w:rPr>
          <w:rFonts w:ascii="Trebuchet MS" w:hAnsi="Trebuchet MS"/>
          <w:sz w:val="24"/>
          <w:szCs w:val="24"/>
        </w:rPr>
        <w:t xml:space="preserve"> </w:t>
      </w:r>
      <w:r w:rsidR="00DC24DA" w:rsidRPr="00874766">
        <w:rPr>
          <w:rFonts w:ascii="Trebuchet MS" w:hAnsi="Trebuchet MS" w:cs="Verdana"/>
          <w:color w:val="000000"/>
          <w:sz w:val="24"/>
          <w:szCs w:val="24"/>
          <w:lang w:val="en-GB"/>
        </w:rPr>
        <w:t>Appeal Ref: APP/Y2620/W/20/3248468 Land off Beresford Road, Holt) where a Counci</w:t>
      </w:r>
      <w:r w:rsidR="00F0600C">
        <w:rPr>
          <w:rFonts w:ascii="Trebuchet MS" w:hAnsi="Trebuchet MS" w:cs="Verdana"/>
          <w:color w:val="000000"/>
          <w:sz w:val="24"/>
          <w:szCs w:val="24"/>
          <w:lang w:val="en-GB"/>
        </w:rPr>
        <w:t>l has successfully argued that the 2014</w:t>
      </w:r>
      <w:r w:rsidR="00896376">
        <w:rPr>
          <w:rFonts w:ascii="Trebuchet MS" w:hAnsi="Trebuchet MS" w:cs="Verdana"/>
          <w:color w:val="000000"/>
          <w:sz w:val="24"/>
          <w:szCs w:val="24"/>
          <w:lang w:val="en-GB"/>
        </w:rPr>
        <w:t xml:space="preserve">-based </w:t>
      </w:r>
      <w:r w:rsidR="00F0600C">
        <w:rPr>
          <w:rFonts w:ascii="Trebuchet MS" w:hAnsi="Trebuchet MS" w:cs="Verdana"/>
          <w:color w:val="000000"/>
          <w:sz w:val="24"/>
          <w:szCs w:val="24"/>
          <w:lang w:val="en-GB"/>
        </w:rPr>
        <w:t xml:space="preserve">ONS </w:t>
      </w:r>
      <w:r w:rsidR="00896376">
        <w:rPr>
          <w:rFonts w:ascii="Trebuchet MS" w:hAnsi="Trebuchet MS" w:cs="Verdana"/>
          <w:color w:val="000000"/>
          <w:sz w:val="24"/>
          <w:szCs w:val="24"/>
          <w:lang w:val="en-GB"/>
        </w:rPr>
        <w:t xml:space="preserve">household projection </w:t>
      </w:r>
      <w:r w:rsidR="00F0600C">
        <w:rPr>
          <w:rFonts w:ascii="Trebuchet MS" w:hAnsi="Trebuchet MS" w:cs="Verdana"/>
          <w:color w:val="000000"/>
          <w:sz w:val="24"/>
          <w:szCs w:val="24"/>
          <w:lang w:val="en-GB"/>
        </w:rPr>
        <w:t>figures are not appropriate</w:t>
      </w:r>
      <w:r w:rsidR="00896376">
        <w:rPr>
          <w:rFonts w:ascii="Trebuchet MS" w:hAnsi="Trebuchet MS" w:cs="Verdana"/>
          <w:color w:val="000000"/>
          <w:sz w:val="24"/>
          <w:szCs w:val="24"/>
          <w:lang w:val="en-GB"/>
        </w:rPr>
        <w:t xml:space="preserve"> to use.</w:t>
      </w:r>
    </w:p>
    <w:p w14:paraId="20A79CF6" w14:textId="77777777" w:rsidR="00F0600C" w:rsidRDefault="00F0600C" w:rsidP="00F0600C">
      <w:pPr>
        <w:overflowPunct/>
        <w:textAlignment w:val="auto"/>
        <w:rPr>
          <w:rFonts w:ascii="Trebuchet MS" w:hAnsi="Trebuchet MS" w:cs="Verdana"/>
          <w:color w:val="000000"/>
          <w:sz w:val="24"/>
          <w:szCs w:val="24"/>
          <w:lang w:val="en-GB"/>
        </w:rPr>
      </w:pPr>
    </w:p>
    <w:p w14:paraId="593D4589" w14:textId="4F815A4B" w:rsidR="00E260AA" w:rsidRDefault="00482EA5" w:rsidP="00E260AA">
      <w:pPr>
        <w:pStyle w:val="Default"/>
        <w:rPr>
          <w:rFonts w:ascii="Trebuchet MS" w:hAnsi="Trebuchet MS"/>
          <w:b/>
          <w:bCs/>
        </w:rPr>
      </w:pPr>
      <w:r>
        <w:rPr>
          <w:rFonts w:ascii="Trebuchet MS" w:hAnsi="Trebuchet MS" w:cs="Verdana"/>
        </w:rPr>
        <w:t xml:space="preserve">2.7 </w:t>
      </w:r>
      <w:r w:rsidR="00F0600C" w:rsidRPr="00E260AA">
        <w:rPr>
          <w:rFonts w:ascii="Trebuchet MS" w:hAnsi="Trebuchet MS" w:cs="Verdana"/>
        </w:rPr>
        <w:t xml:space="preserve">Moreover, the use of outdated figures </w:t>
      </w:r>
      <w:r w:rsidR="00E260AA" w:rsidRPr="00E260AA">
        <w:rPr>
          <w:rFonts w:ascii="Trebuchet MS" w:hAnsi="Trebuchet MS" w:cs="Verdana"/>
        </w:rPr>
        <w:t>was criticised recently by the Office for Statistics Regulation who said</w:t>
      </w:r>
      <w:r w:rsidR="00E260AA" w:rsidRPr="00874766">
        <w:rPr>
          <w:rFonts w:ascii="Trebuchet MS" w:hAnsi="Trebuchet MS" w:cs="Verdana"/>
          <w:i/>
          <w:iCs/>
        </w:rPr>
        <w:t>: ‘</w:t>
      </w:r>
      <w:r w:rsidR="00E260AA" w:rsidRPr="00874766">
        <w:rPr>
          <w:rFonts w:ascii="Trebuchet MS" w:hAnsi="Trebuchet MS"/>
          <w:i/>
          <w:iCs/>
        </w:rPr>
        <w:t>We recognise that ultimately ONS cannot control the decisions of policy makers but ONS should be vocal in speaking up against those who choose not to use the most up to date and comprehensive figures, where there is not a reasonable argument for them to do so</w:t>
      </w:r>
      <w:r w:rsidR="00E260AA">
        <w:rPr>
          <w:rFonts w:ascii="Trebuchet MS" w:hAnsi="Trebuchet MS"/>
          <w:i/>
          <w:iCs/>
          <w:color w:val="auto"/>
        </w:rPr>
        <w:t>.’</w:t>
      </w:r>
      <w:r w:rsidR="00E260AA" w:rsidRPr="00874766">
        <w:rPr>
          <w:rStyle w:val="FootnoteReference"/>
          <w:rFonts w:ascii="Trebuchet MS" w:hAnsi="Trebuchet MS"/>
        </w:rPr>
        <w:footnoteReference w:id="1"/>
      </w:r>
    </w:p>
    <w:p w14:paraId="1EA16D24" w14:textId="77777777" w:rsidR="002B2C03" w:rsidRDefault="002B2C03" w:rsidP="00E260AA">
      <w:pPr>
        <w:pStyle w:val="Default"/>
        <w:rPr>
          <w:rFonts w:ascii="Trebuchet MS" w:hAnsi="Trebuchet MS"/>
        </w:rPr>
      </w:pPr>
    </w:p>
    <w:p w14:paraId="5C1DD370" w14:textId="064C2607" w:rsidR="00576FA1" w:rsidRDefault="00482EA5" w:rsidP="00576FA1">
      <w:pPr>
        <w:ind w:right="333"/>
        <w:rPr>
          <w:rFonts w:ascii="Trebuchet MS" w:hAnsi="Trebuchet MS" w:cs="Arial"/>
          <w:sz w:val="24"/>
          <w:szCs w:val="24"/>
        </w:rPr>
      </w:pPr>
      <w:r>
        <w:rPr>
          <w:rFonts w:ascii="Trebuchet MS" w:hAnsi="Trebuchet MS" w:cs="Arial"/>
          <w:sz w:val="24"/>
          <w:szCs w:val="24"/>
        </w:rPr>
        <w:t xml:space="preserve">2.8 </w:t>
      </w:r>
      <w:r w:rsidR="00576FA1">
        <w:rPr>
          <w:rFonts w:ascii="Trebuchet MS" w:hAnsi="Trebuchet MS" w:cs="Arial"/>
          <w:sz w:val="24"/>
          <w:szCs w:val="24"/>
        </w:rPr>
        <w:t xml:space="preserve">The 2021 Census Results have now been published including population and housing figures for </w:t>
      </w:r>
      <w:r w:rsidR="00204533">
        <w:rPr>
          <w:rFonts w:ascii="Trebuchet MS" w:hAnsi="Trebuchet MS" w:cs="Arial"/>
          <w:sz w:val="24"/>
          <w:szCs w:val="24"/>
        </w:rPr>
        <w:t xml:space="preserve">all </w:t>
      </w:r>
      <w:r w:rsidR="00576FA1">
        <w:rPr>
          <w:rFonts w:ascii="Trebuchet MS" w:hAnsi="Trebuchet MS" w:cs="Arial"/>
          <w:sz w:val="24"/>
          <w:szCs w:val="24"/>
        </w:rPr>
        <w:t xml:space="preserve">the Black Country Authorities.  Table </w:t>
      </w:r>
      <w:r w:rsidR="00D91313">
        <w:rPr>
          <w:rFonts w:ascii="Trebuchet MS" w:hAnsi="Trebuchet MS" w:cs="Arial"/>
          <w:sz w:val="24"/>
          <w:szCs w:val="24"/>
        </w:rPr>
        <w:t>3</w:t>
      </w:r>
      <w:r w:rsidR="00576FA1">
        <w:rPr>
          <w:rFonts w:ascii="Trebuchet MS" w:hAnsi="Trebuchet MS" w:cs="Arial"/>
          <w:sz w:val="24"/>
          <w:szCs w:val="24"/>
        </w:rPr>
        <w:t xml:space="preserve"> sets out the differences when compared with the Office for National Statistics (ONS) 2014, 2016 and 2018 housing projections. </w:t>
      </w:r>
    </w:p>
    <w:p w14:paraId="3FE9B18C" w14:textId="77777777" w:rsidR="00482EA5" w:rsidRDefault="00482EA5" w:rsidP="00576FA1">
      <w:pPr>
        <w:ind w:right="333"/>
        <w:rPr>
          <w:rFonts w:ascii="Trebuchet MS" w:hAnsi="Trebuchet MS" w:cs="Arial"/>
          <w:sz w:val="24"/>
          <w:szCs w:val="24"/>
        </w:rPr>
      </w:pPr>
    </w:p>
    <w:p w14:paraId="0162A0A9" w14:textId="77777777" w:rsidR="00482EA5" w:rsidRDefault="00482EA5" w:rsidP="00482EA5">
      <w:pPr>
        <w:ind w:right="333"/>
        <w:rPr>
          <w:rFonts w:ascii="Trebuchet MS" w:hAnsi="Trebuchet MS" w:cs="Arial"/>
          <w:sz w:val="24"/>
          <w:szCs w:val="24"/>
        </w:rPr>
      </w:pPr>
      <w:r>
        <w:rPr>
          <w:rFonts w:ascii="Trebuchet MS" w:hAnsi="Trebuchet MS" w:cs="Arial"/>
          <w:sz w:val="24"/>
          <w:szCs w:val="24"/>
        </w:rPr>
        <w:t>2.9 While the distribution is slightly different, the Census gives a similar overall baseline population figure for the Black Country to all the ONS figures but is most closely aligned to the ONS2016 household figure and household size. The ONS2014 is by far the poorest match with the census with nearly 9,000 additional households in 2021 in the ONS2014 figures.</w:t>
      </w:r>
    </w:p>
    <w:p w14:paraId="3FBA127D" w14:textId="77777777" w:rsidR="00482EA5" w:rsidRDefault="00482EA5" w:rsidP="00482EA5">
      <w:pPr>
        <w:ind w:right="333"/>
        <w:rPr>
          <w:rFonts w:ascii="Trebuchet MS" w:hAnsi="Trebuchet MS" w:cs="Arial"/>
          <w:sz w:val="24"/>
          <w:szCs w:val="24"/>
        </w:rPr>
      </w:pPr>
    </w:p>
    <w:p w14:paraId="60642DDC" w14:textId="77777777" w:rsidR="00482EA5" w:rsidRDefault="00482EA5" w:rsidP="00482EA5">
      <w:pPr>
        <w:ind w:right="333"/>
        <w:rPr>
          <w:rFonts w:ascii="Trebuchet MS" w:hAnsi="Trebuchet MS" w:cs="Arial"/>
          <w:sz w:val="24"/>
          <w:szCs w:val="24"/>
        </w:rPr>
      </w:pPr>
      <w:r>
        <w:rPr>
          <w:rFonts w:ascii="Trebuchet MS" w:hAnsi="Trebuchet MS" w:cs="Arial"/>
          <w:sz w:val="24"/>
          <w:szCs w:val="24"/>
        </w:rPr>
        <w:t xml:space="preserve">2.10 In the case of Sandwell, in particular, the CENSUS suggests the number of households is much closer to the 2016/2018 ONS figures than the 2014 ONS figures. </w:t>
      </w:r>
    </w:p>
    <w:p w14:paraId="768C59EC" w14:textId="77777777" w:rsidR="00482EA5" w:rsidRDefault="00482EA5" w:rsidP="00576FA1">
      <w:pPr>
        <w:ind w:right="333"/>
        <w:rPr>
          <w:rFonts w:ascii="Trebuchet MS" w:hAnsi="Trebuchet MS" w:cs="Arial"/>
          <w:sz w:val="24"/>
          <w:szCs w:val="24"/>
        </w:rPr>
      </w:pPr>
    </w:p>
    <w:p w14:paraId="7F454E3E" w14:textId="77777777" w:rsidR="00576FA1" w:rsidRDefault="00576FA1" w:rsidP="00576FA1">
      <w:pPr>
        <w:ind w:right="333"/>
        <w:rPr>
          <w:rFonts w:ascii="Trebuchet MS" w:hAnsi="Trebuchet MS" w:cs="Arial"/>
          <w:b/>
          <w:bCs/>
          <w:sz w:val="24"/>
          <w:szCs w:val="24"/>
        </w:rPr>
      </w:pPr>
    </w:p>
    <w:p w14:paraId="0A0E8174" w14:textId="77777777" w:rsidR="00482EA5" w:rsidRDefault="00482EA5" w:rsidP="00576FA1">
      <w:pPr>
        <w:ind w:right="333"/>
        <w:rPr>
          <w:rFonts w:ascii="Trebuchet MS" w:hAnsi="Trebuchet MS" w:cs="Arial"/>
          <w:b/>
          <w:bCs/>
          <w:sz w:val="24"/>
          <w:szCs w:val="24"/>
        </w:rPr>
      </w:pPr>
    </w:p>
    <w:p w14:paraId="43832395" w14:textId="77777777" w:rsidR="00482EA5" w:rsidRDefault="00482EA5" w:rsidP="00576FA1">
      <w:pPr>
        <w:ind w:right="333"/>
        <w:rPr>
          <w:rFonts w:ascii="Trebuchet MS" w:hAnsi="Trebuchet MS" w:cs="Arial"/>
          <w:b/>
          <w:bCs/>
          <w:sz w:val="24"/>
          <w:szCs w:val="24"/>
        </w:rPr>
      </w:pPr>
    </w:p>
    <w:p w14:paraId="1F832F1F" w14:textId="77777777" w:rsidR="00482EA5" w:rsidRDefault="00482EA5" w:rsidP="00576FA1">
      <w:pPr>
        <w:ind w:right="333"/>
        <w:rPr>
          <w:rFonts w:ascii="Trebuchet MS" w:hAnsi="Trebuchet MS" w:cs="Arial"/>
          <w:b/>
          <w:bCs/>
          <w:sz w:val="24"/>
          <w:szCs w:val="24"/>
        </w:rPr>
      </w:pPr>
    </w:p>
    <w:p w14:paraId="2ED10576" w14:textId="77777777" w:rsidR="00482EA5" w:rsidRDefault="00482EA5" w:rsidP="00576FA1">
      <w:pPr>
        <w:ind w:right="333"/>
        <w:rPr>
          <w:rFonts w:ascii="Trebuchet MS" w:hAnsi="Trebuchet MS" w:cs="Arial"/>
          <w:b/>
          <w:bCs/>
          <w:sz w:val="24"/>
          <w:szCs w:val="24"/>
        </w:rPr>
      </w:pPr>
    </w:p>
    <w:p w14:paraId="467D5D21" w14:textId="77777777" w:rsidR="00482EA5" w:rsidRDefault="00482EA5" w:rsidP="00576FA1">
      <w:pPr>
        <w:ind w:right="333"/>
        <w:rPr>
          <w:rFonts w:ascii="Trebuchet MS" w:hAnsi="Trebuchet MS" w:cs="Arial"/>
          <w:b/>
          <w:bCs/>
          <w:sz w:val="24"/>
          <w:szCs w:val="24"/>
        </w:rPr>
      </w:pPr>
    </w:p>
    <w:p w14:paraId="20D7A992" w14:textId="7B9D49B0" w:rsidR="00576FA1" w:rsidRDefault="00576FA1" w:rsidP="00576FA1">
      <w:pPr>
        <w:ind w:right="333"/>
        <w:jc w:val="center"/>
        <w:rPr>
          <w:rFonts w:ascii="Trebuchet MS" w:hAnsi="Trebuchet MS" w:cs="Arial"/>
          <w:b/>
          <w:bCs/>
          <w:sz w:val="24"/>
          <w:szCs w:val="24"/>
        </w:rPr>
      </w:pPr>
      <w:r>
        <w:rPr>
          <w:rFonts w:ascii="Trebuchet MS" w:hAnsi="Trebuchet MS" w:cs="Arial"/>
          <w:b/>
          <w:bCs/>
          <w:sz w:val="24"/>
          <w:szCs w:val="24"/>
        </w:rPr>
        <w:t xml:space="preserve">Table </w:t>
      </w:r>
      <w:r w:rsidR="00204533">
        <w:rPr>
          <w:rFonts w:ascii="Trebuchet MS" w:hAnsi="Trebuchet MS" w:cs="Arial"/>
          <w:b/>
          <w:bCs/>
          <w:sz w:val="24"/>
          <w:szCs w:val="24"/>
        </w:rPr>
        <w:t>3</w:t>
      </w:r>
      <w:r>
        <w:rPr>
          <w:rFonts w:ascii="Trebuchet MS" w:hAnsi="Trebuchet MS" w:cs="Arial"/>
          <w:b/>
          <w:bCs/>
          <w:sz w:val="24"/>
          <w:szCs w:val="24"/>
        </w:rPr>
        <w:t xml:space="preserve">: </w:t>
      </w:r>
      <w:r w:rsidRPr="00CE240D">
        <w:rPr>
          <w:rFonts w:ascii="Trebuchet MS" w:hAnsi="Trebuchet MS" w:cs="Arial"/>
          <w:b/>
          <w:bCs/>
          <w:sz w:val="24"/>
          <w:szCs w:val="24"/>
        </w:rPr>
        <w:t>Comparison of CENSUS and ONS Projections for the Black Country Boroughs</w:t>
      </w:r>
    </w:p>
    <w:p w14:paraId="0C91020F" w14:textId="77777777" w:rsidR="00576FA1" w:rsidRDefault="00576FA1" w:rsidP="00576FA1">
      <w:pPr>
        <w:ind w:right="333"/>
        <w:rPr>
          <w:rFonts w:ascii="Trebuchet MS" w:hAnsi="Trebuchet MS" w:cs="Arial"/>
          <w:sz w:val="24"/>
          <w:szCs w:val="24"/>
        </w:rPr>
      </w:pPr>
    </w:p>
    <w:p w14:paraId="5B12EFD5" w14:textId="77777777" w:rsidR="00270123" w:rsidRDefault="00270123" w:rsidP="00576FA1">
      <w:pPr>
        <w:ind w:right="333"/>
        <w:rPr>
          <w:rFonts w:ascii="Trebuchet MS" w:hAnsi="Trebuchet MS" w:cs="Arial"/>
          <w:sz w:val="24"/>
          <w:szCs w:val="24"/>
        </w:rPr>
      </w:pPr>
    </w:p>
    <w:tbl>
      <w:tblPr>
        <w:tblW w:w="592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96"/>
        <w:gridCol w:w="1107"/>
        <w:gridCol w:w="1107"/>
        <w:gridCol w:w="1107"/>
        <w:gridCol w:w="1107"/>
      </w:tblGrid>
      <w:tr w:rsidR="00576FA1" w:rsidRPr="00CE240D" w14:paraId="5011AF8B" w14:textId="77777777" w:rsidTr="004F019F">
        <w:trPr>
          <w:trHeight w:val="300"/>
          <w:jc w:val="center"/>
        </w:trPr>
        <w:tc>
          <w:tcPr>
            <w:tcW w:w="2603" w:type="dxa"/>
            <w:gridSpan w:val="2"/>
            <w:shd w:val="clear" w:color="auto" w:fill="auto"/>
            <w:noWrap/>
            <w:vAlign w:val="bottom"/>
            <w:hideMark/>
          </w:tcPr>
          <w:p w14:paraId="3208BFE2" w14:textId="77777777" w:rsidR="00576FA1" w:rsidRPr="007A43D6" w:rsidRDefault="00576FA1" w:rsidP="004F019F">
            <w:pPr>
              <w:overflowPunct/>
              <w:autoSpaceDE/>
              <w:autoSpaceDN/>
              <w:adjustRightInd/>
              <w:textAlignment w:val="auto"/>
              <w:rPr>
                <w:rFonts w:ascii="Calibri" w:hAnsi="Calibri" w:cs="Calibri"/>
                <w:b/>
                <w:bCs/>
                <w:color w:val="000000"/>
                <w:sz w:val="22"/>
                <w:szCs w:val="22"/>
                <w:lang w:val="en-GB"/>
              </w:rPr>
            </w:pPr>
            <w:r w:rsidRPr="007A43D6">
              <w:rPr>
                <w:rFonts w:ascii="Calibri" w:hAnsi="Calibri" w:cs="Calibri"/>
                <w:b/>
                <w:bCs/>
                <w:color w:val="000000"/>
                <w:sz w:val="22"/>
                <w:szCs w:val="22"/>
                <w:lang w:val="en-GB"/>
              </w:rPr>
              <w:t>Population</w:t>
            </w:r>
          </w:p>
        </w:tc>
        <w:tc>
          <w:tcPr>
            <w:tcW w:w="1107" w:type="dxa"/>
            <w:shd w:val="clear" w:color="auto" w:fill="auto"/>
            <w:noWrap/>
            <w:vAlign w:val="bottom"/>
            <w:hideMark/>
          </w:tcPr>
          <w:p w14:paraId="14B6110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p>
        </w:tc>
        <w:tc>
          <w:tcPr>
            <w:tcW w:w="1107" w:type="dxa"/>
            <w:shd w:val="clear" w:color="auto" w:fill="auto"/>
            <w:noWrap/>
            <w:vAlign w:val="bottom"/>
            <w:hideMark/>
          </w:tcPr>
          <w:p w14:paraId="27B8F24C"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7D340787" w14:textId="77777777" w:rsidR="00576FA1" w:rsidRPr="00CE240D" w:rsidRDefault="00576FA1" w:rsidP="004F019F">
            <w:pPr>
              <w:overflowPunct/>
              <w:autoSpaceDE/>
              <w:autoSpaceDN/>
              <w:adjustRightInd/>
              <w:textAlignment w:val="auto"/>
              <w:rPr>
                <w:lang w:val="en-GB"/>
              </w:rPr>
            </w:pPr>
          </w:p>
        </w:tc>
      </w:tr>
      <w:tr w:rsidR="00576FA1" w:rsidRPr="00CE240D" w14:paraId="62148F7C" w14:textId="77777777" w:rsidTr="004F019F">
        <w:trPr>
          <w:trHeight w:val="300"/>
          <w:jc w:val="center"/>
        </w:trPr>
        <w:tc>
          <w:tcPr>
            <w:tcW w:w="1496" w:type="dxa"/>
            <w:shd w:val="clear" w:color="auto" w:fill="auto"/>
            <w:noWrap/>
            <w:vAlign w:val="bottom"/>
            <w:hideMark/>
          </w:tcPr>
          <w:p w14:paraId="518837B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2021</w:t>
            </w:r>
          </w:p>
        </w:tc>
        <w:tc>
          <w:tcPr>
            <w:tcW w:w="1107" w:type="dxa"/>
            <w:shd w:val="clear" w:color="auto" w:fill="auto"/>
            <w:noWrap/>
            <w:vAlign w:val="bottom"/>
            <w:hideMark/>
          </w:tcPr>
          <w:p w14:paraId="71CF6277"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Census</w:t>
            </w:r>
          </w:p>
        </w:tc>
        <w:tc>
          <w:tcPr>
            <w:tcW w:w="1107" w:type="dxa"/>
            <w:shd w:val="clear" w:color="auto" w:fill="auto"/>
            <w:noWrap/>
            <w:vAlign w:val="bottom"/>
            <w:hideMark/>
          </w:tcPr>
          <w:p w14:paraId="3C01656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ONS2014</w:t>
            </w:r>
          </w:p>
        </w:tc>
        <w:tc>
          <w:tcPr>
            <w:tcW w:w="1107" w:type="dxa"/>
            <w:shd w:val="clear" w:color="auto" w:fill="auto"/>
            <w:noWrap/>
            <w:vAlign w:val="bottom"/>
            <w:hideMark/>
          </w:tcPr>
          <w:p w14:paraId="1C9B9867"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ONS2016</w:t>
            </w:r>
          </w:p>
        </w:tc>
        <w:tc>
          <w:tcPr>
            <w:tcW w:w="1107" w:type="dxa"/>
            <w:shd w:val="clear" w:color="auto" w:fill="auto"/>
            <w:noWrap/>
            <w:vAlign w:val="bottom"/>
            <w:hideMark/>
          </w:tcPr>
          <w:p w14:paraId="1832708D"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ONS2018</w:t>
            </w:r>
          </w:p>
        </w:tc>
      </w:tr>
      <w:tr w:rsidR="00576FA1" w:rsidRPr="00CE240D" w14:paraId="3C5083F8" w14:textId="77777777" w:rsidTr="004F019F">
        <w:trPr>
          <w:trHeight w:val="300"/>
          <w:jc w:val="center"/>
        </w:trPr>
        <w:tc>
          <w:tcPr>
            <w:tcW w:w="1496" w:type="dxa"/>
            <w:shd w:val="clear" w:color="auto" w:fill="auto"/>
            <w:noWrap/>
            <w:vAlign w:val="bottom"/>
            <w:hideMark/>
          </w:tcPr>
          <w:p w14:paraId="49D1861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Dudley</w:t>
            </w:r>
          </w:p>
        </w:tc>
        <w:tc>
          <w:tcPr>
            <w:tcW w:w="1107" w:type="dxa"/>
            <w:shd w:val="clear" w:color="auto" w:fill="auto"/>
            <w:noWrap/>
            <w:vAlign w:val="bottom"/>
            <w:hideMark/>
          </w:tcPr>
          <w:p w14:paraId="061174AD"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323,500</w:t>
            </w:r>
          </w:p>
        </w:tc>
        <w:tc>
          <w:tcPr>
            <w:tcW w:w="1107" w:type="dxa"/>
            <w:shd w:val="clear" w:color="auto" w:fill="auto"/>
            <w:noWrap/>
            <w:vAlign w:val="bottom"/>
            <w:hideMark/>
          </w:tcPr>
          <w:p w14:paraId="66B5C84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321,700</w:t>
            </w:r>
          </w:p>
        </w:tc>
        <w:tc>
          <w:tcPr>
            <w:tcW w:w="1107" w:type="dxa"/>
            <w:shd w:val="clear" w:color="auto" w:fill="auto"/>
            <w:noWrap/>
            <w:vAlign w:val="bottom"/>
            <w:hideMark/>
          </w:tcPr>
          <w:p w14:paraId="66D1CEF8"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321,800</w:t>
            </w:r>
          </w:p>
        </w:tc>
        <w:tc>
          <w:tcPr>
            <w:tcW w:w="1107" w:type="dxa"/>
            <w:shd w:val="clear" w:color="auto" w:fill="auto"/>
            <w:noWrap/>
            <w:vAlign w:val="bottom"/>
            <w:hideMark/>
          </w:tcPr>
          <w:p w14:paraId="19FDE540"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325,147</w:t>
            </w:r>
          </w:p>
        </w:tc>
      </w:tr>
      <w:tr w:rsidR="00576FA1" w:rsidRPr="00CE240D" w14:paraId="485593F5" w14:textId="77777777" w:rsidTr="004F019F">
        <w:trPr>
          <w:trHeight w:val="300"/>
          <w:jc w:val="center"/>
        </w:trPr>
        <w:tc>
          <w:tcPr>
            <w:tcW w:w="1496" w:type="dxa"/>
            <w:shd w:val="clear" w:color="auto" w:fill="auto"/>
            <w:noWrap/>
            <w:vAlign w:val="bottom"/>
            <w:hideMark/>
          </w:tcPr>
          <w:p w14:paraId="77E3920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Sandwell</w:t>
            </w:r>
          </w:p>
        </w:tc>
        <w:tc>
          <w:tcPr>
            <w:tcW w:w="1107" w:type="dxa"/>
            <w:shd w:val="clear" w:color="auto" w:fill="auto"/>
            <w:noWrap/>
            <w:vAlign w:val="bottom"/>
            <w:hideMark/>
          </w:tcPr>
          <w:p w14:paraId="706583E2"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341,900</w:t>
            </w:r>
          </w:p>
        </w:tc>
        <w:tc>
          <w:tcPr>
            <w:tcW w:w="1107" w:type="dxa"/>
            <w:shd w:val="clear" w:color="auto" w:fill="auto"/>
            <w:noWrap/>
            <w:vAlign w:val="bottom"/>
            <w:hideMark/>
          </w:tcPr>
          <w:p w14:paraId="01816C9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335,600</w:t>
            </w:r>
          </w:p>
        </w:tc>
        <w:tc>
          <w:tcPr>
            <w:tcW w:w="1107" w:type="dxa"/>
            <w:shd w:val="clear" w:color="auto" w:fill="auto"/>
            <w:noWrap/>
            <w:vAlign w:val="bottom"/>
            <w:hideMark/>
          </w:tcPr>
          <w:p w14:paraId="5D30921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335,000</w:t>
            </w:r>
          </w:p>
        </w:tc>
        <w:tc>
          <w:tcPr>
            <w:tcW w:w="1107" w:type="dxa"/>
            <w:shd w:val="clear" w:color="auto" w:fill="auto"/>
            <w:noWrap/>
            <w:vAlign w:val="bottom"/>
            <w:hideMark/>
          </w:tcPr>
          <w:p w14:paraId="2B6121AC"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333,731</w:t>
            </w:r>
          </w:p>
        </w:tc>
      </w:tr>
      <w:tr w:rsidR="00576FA1" w:rsidRPr="00CE240D" w14:paraId="01466C17" w14:textId="77777777" w:rsidTr="004F019F">
        <w:trPr>
          <w:trHeight w:val="300"/>
          <w:jc w:val="center"/>
        </w:trPr>
        <w:tc>
          <w:tcPr>
            <w:tcW w:w="1496" w:type="dxa"/>
            <w:shd w:val="clear" w:color="auto" w:fill="auto"/>
            <w:noWrap/>
            <w:vAlign w:val="bottom"/>
            <w:hideMark/>
          </w:tcPr>
          <w:p w14:paraId="1619FAF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Walsall</w:t>
            </w:r>
          </w:p>
        </w:tc>
        <w:tc>
          <w:tcPr>
            <w:tcW w:w="1107" w:type="dxa"/>
            <w:shd w:val="clear" w:color="auto" w:fill="auto"/>
            <w:noWrap/>
            <w:vAlign w:val="bottom"/>
            <w:hideMark/>
          </w:tcPr>
          <w:p w14:paraId="7DBEA5B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284,100</w:t>
            </w:r>
          </w:p>
        </w:tc>
        <w:tc>
          <w:tcPr>
            <w:tcW w:w="1107" w:type="dxa"/>
            <w:shd w:val="clear" w:color="auto" w:fill="auto"/>
            <w:noWrap/>
            <w:vAlign w:val="bottom"/>
            <w:hideMark/>
          </w:tcPr>
          <w:p w14:paraId="15E7FCE1"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285,400</w:t>
            </w:r>
          </w:p>
        </w:tc>
        <w:tc>
          <w:tcPr>
            <w:tcW w:w="1107" w:type="dxa"/>
            <w:shd w:val="clear" w:color="auto" w:fill="auto"/>
            <w:noWrap/>
            <w:vAlign w:val="bottom"/>
            <w:hideMark/>
          </w:tcPr>
          <w:p w14:paraId="7FDCFB68"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287,400</w:t>
            </w:r>
          </w:p>
        </w:tc>
        <w:tc>
          <w:tcPr>
            <w:tcW w:w="1107" w:type="dxa"/>
            <w:shd w:val="clear" w:color="auto" w:fill="auto"/>
            <w:noWrap/>
            <w:vAlign w:val="bottom"/>
            <w:hideMark/>
          </w:tcPr>
          <w:p w14:paraId="5BA5C36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289,406</w:t>
            </w:r>
          </w:p>
        </w:tc>
      </w:tr>
      <w:tr w:rsidR="00576FA1" w:rsidRPr="00CE240D" w14:paraId="22B6BE35" w14:textId="77777777" w:rsidTr="004F019F">
        <w:trPr>
          <w:trHeight w:val="300"/>
          <w:jc w:val="center"/>
        </w:trPr>
        <w:tc>
          <w:tcPr>
            <w:tcW w:w="1496" w:type="dxa"/>
            <w:shd w:val="clear" w:color="auto" w:fill="auto"/>
            <w:noWrap/>
            <w:vAlign w:val="bottom"/>
            <w:hideMark/>
          </w:tcPr>
          <w:p w14:paraId="05AD52C6"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Wolverhampton</w:t>
            </w:r>
          </w:p>
        </w:tc>
        <w:tc>
          <w:tcPr>
            <w:tcW w:w="1107" w:type="dxa"/>
            <w:shd w:val="clear" w:color="auto" w:fill="auto"/>
            <w:noWrap/>
            <w:vAlign w:val="bottom"/>
            <w:hideMark/>
          </w:tcPr>
          <w:p w14:paraId="654D340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263,700</w:t>
            </w:r>
          </w:p>
        </w:tc>
        <w:tc>
          <w:tcPr>
            <w:tcW w:w="1107" w:type="dxa"/>
            <w:shd w:val="clear" w:color="auto" w:fill="auto"/>
            <w:noWrap/>
            <w:vAlign w:val="bottom"/>
            <w:hideMark/>
          </w:tcPr>
          <w:p w14:paraId="5DD28596"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263,100</w:t>
            </w:r>
          </w:p>
        </w:tc>
        <w:tc>
          <w:tcPr>
            <w:tcW w:w="1107" w:type="dxa"/>
            <w:shd w:val="clear" w:color="auto" w:fill="auto"/>
            <w:noWrap/>
            <w:vAlign w:val="bottom"/>
            <w:hideMark/>
          </w:tcPr>
          <w:p w14:paraId="705BA22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265,200</w:t>
            </w:r>
          </w:p>
        </w:tc>
        <w:tc>
          <w:tcPr>
            <w:tcW w:w="1107" w:type="dxa"/>
            <w:shd w:val="clear" w:color="auto" w:fill="auto"/>
            <w:noWrap/>
            <w:vAlign w:val="bottom"/>
            <w:hideMark/>
          </w:tcPr>
          <w:p w14:paraId="0669C4FC"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267,530</w:t>
            </w:r>
          </w:p>
        </w:tc>
      </w:tr>
      <w:tr w:rsidR="00576FA1" w:rsidRPr="00CE240D" w14:paraId="317CC360" w14:textId="77777777" w:rsidTr="004F019F">
        <w:trPr>
          <w:trHeight w:val="300"/>
          <w:jc w:val="center"/>
        </w:trPr>
        <w:tc>
          <w:tcPr>
            <w:tcW w:w="1496" w:type="dxa"/>
            <w:shd w:val="clear" w:color="auto" w:fill="auto"/>
            <w:noWrap/>
            <w:vAlign w:val="bottom"/>
            <w:hideMark/>
          </w:tcPr>
          <w:p w14:paraId="57ABB5B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Black Country</w:t>
            </w:r>
          </w:p>
        </w:tc>
        <w:tc>
          <w:tcPr>
            <w:tcW w:w="1107" w:type="dxa"/>
            <w:shd w:val="clear" w:color="auto" w:fill="auto"/>
            <w:noWrap/>
            <w:vAlign w:val="bottom"/>
            <w:hideMark/>
          </w:tcPr>
          <w:p w14:paraId="71682698"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1,213,200</w:t>
            </w:r>
          </w:p>
        </w:tc>
        <w:tc>
          <w:tcPr>
            <w:tcW w:w="1107" w:type="dxa"/>
            <w:shd w:val="clear" w:color="auto" w:fill="auto"/>
            <w:noWrap/>
            <w:vAlign w:val="bottom"/>
            <w:hideMark/>
          </w:tcPr>
          <w:p w14:paraId="439D76A0"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1,205,800</w:t>
            </w:r>
          </w:p>
        </w:tc>
        <w:tc>
          <w:tcPr>
            <w:tcW w:w="1107" w:type="dxa"/>
            <w:shd w:val="clear" w:color="auto" w:fill="auto"/>
            <w:noWrap/>
            <w:vAlign w:val="bottom"/>
            <w:hideMark/>
          </w:tcPr>
          <w:p w14:paraId="0ADCB710"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1,209,400</w:t>
            </w:r>
          </w:p>
        </w:tc>
        <w:tc>
          <w:tcPr>
            <w:tcW w:w="1107" w:type="dxa"/>
            <w:shd w:val="clear" w:color="auto" w:fill="auto"/>
            <w:noWrap/>
            <w:vAlign w:val="bottom"/>
            <w:hideMark/>
          </w:tcPr>
          <w:p w14:paraId="5067999C"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1,215,814</w:t>
            </w:r>
          </w:p>
        </w:tc>
      </w:tr>
      <w:tr w:rsidR="00576FA1" w:rsidRPr="00CE240D" w14:paraId="53A5AE2E" w14:textId="77777777" w:rsidTr="004F019F">
        <w:trPr>
          <w:trHeight w:val="300"/>
          <w:jc w:val="center"/>
        </w:trPr>
        <w:tc>
          <w:tcPr>
            <w:tcW w:w="2603" w:type="dxa"/>
            <w:gridSpan w:val="2"/>
            <w:shd w:val="clear" w:color="auto" w:fill="auto"/>
            <w:noWrap/>
            <w:vAlign w:val="bottom"/>
            <w:hideMark/>
          </w:tcPr>
          <w:p w14:paraId="1A5FFB37"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Difference to Census</w:t>
            </w:r>
          </w:p>
        </w:tc>
        <w:tc>
          <w:tcPr>
            <w:tcW w:w="1107" w:type="dxa"/>
            <w:shd w:val="clear" w:color="auto" w:fill="auto"/>
            <w:noWrap/>
            <w:vAlign w:val="bottom"/>
            <w:hideMark/>
          </w:tcPr>
          <w:p w14:paraId="6F352F70"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7,400</w:t>
            </w:r>
          </w:p>
        </w:tc>
        <w:tc>
          <w:tcPr>
            <w:tcW w:w="1107" w:type="dxa"/>
            <w:shd w:val="clear" w:color="auto" w:fill="auto"/>
            <w:noWrap/>
            <w:vAlign w:val="bottom"/>
            <w:hideMark/>
          </w:tcPr>
          <w:p w14:paraId="6669E04F"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3,800</w:t>
            </w:r>
          </w:p>
        </w:tc>
        <w:tc>
          <w:tcPr>
            <w:tcW w:w="1107" w:type="dxa"/>
            <w:shd w:val="clear" w:color="auto" w:fill="auto"/>
            <w:noWrap/>
            <w:vAlign w:val="bottom"/>
            <w:hideMark/>
          </w:tcPr>
          <w:p w14:paraId="06CF2406"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-2,614</w:t>
            </w:r>
          </w:p>
        </w:tc>
      </w:tr>
      <w:tr w:rsidR="00576FA1" w:rsidRPr="00CE240D" w14:paraId="69F2CA3B" w14:textId="77777777" w:rsidTr="004F019F">
        <w:trPr>
          <w:trHeight w:val="300"/>
          <w:jc w:val="center"/>
        </w:trPr>
        <w:tc>
          <w:tcPr>
            <w:tcW w:w="1496" w:type="dxa"/>
            <w:shd w:val="clear" w:color="auto" w:fill="auto"/>
            <w:noWrap/>
            <w:vAlign w:val="bottom"/>
            <w:hideMark/>
          </w:tcPr>
          <w:p w14:paraId="1617F6CD"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p>
        </w:tc>
        <w:tc>
          <w:tcPr>
            <w:tcW w:w="1107" w:type="dxa"/>
            <w:shd w:val="clear" w:color="auto" w:fill="auto"/>
            <w:noWrap/>
            <w:vAlign w:val="bottom"/>
            <w:hideMark/>
          </w:tcPr>
          <w:p w14:paraId="3063D304"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00A3114E"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0ADB9071"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2440EDE2" w14:textId="77777777" w:rsidR="00576FA1" w:rsidRPr="00CE240D" w:rsidRDefault="00576FA1" w:rsidP="004F019F">
            <w:pPr>
              <w:overflowPunct/>
              <w:autoSpaceDE/>
              <w:autoSpaceDN/>
              <w:adjustRightInd/>
              <w:textAlignment w:val="auto"/>
              <w:rPr>
                <w:lang w:val="en-GB"/>
              </w:rPr>
            </w:pPr>
          </w:p>
        </w:tc>
      </w:tr>
      <w:tr w:rsidR="00576FA1" w:rsidRPr="00CE240D" w14:paraId="6B4C2417" w14:textId="77777777" w:rsidTr="004F019F">
        <w:trPr>
          <w:trHeight w:val="300"/>
          <w:jc w:val="center"/>
        </w:trPr>
        <w:tc>
          <w:tcPr>
            <w:tcW w:w="2603" w:type="dxa"/>
            <w:gridSpan w:val="2"/>
            <w:shd w:val="clear" w:color="auto" w:fill="auto"/>
            <w:noWrap/>
            <w:vAlign w:val="bottom"/>
            <w:hideMark/>
          </w:tcPr>
          <w:p w14:paraId="22453ACD" w14:textId="77777777" w:rsidR="00576FA1" w:rsidRPr="007A43D6" w:rsidRDefault="00576FA1" w:rsidP="004F019F">
            <w:pPr>
              <w:overflowPunct/>
              <w:autoSpaceDE/>
              <w:autoSpaceDN/>
              <w:adjustRightInd/>
              <w:textAlignment w:val="auto"/>
              <w:rPr>
                <w:rFonts w:ascii="Calibri" w:hAnsi="Calibri" w:cs="Calibri"/>
                <w:b/>
                <w:bCs/>
                <w:color w:val="000000"/>
                <w:sz w:val="22"/>
                <w:szCs w:val="22"/>
                <w:lang w:val="en-GB"/>
              </w:rPr>
            </w:pPr>
            <w:r w:rsidRPr="007A43D6">
              <w:rPr>
                <w:rFonts w:ascii="Calibri" w:hAnsi="Calibri" w:cs="Calibri"/>
                <w:b/>
                <w:bCs/>
                <w:color w:val="000000"/>
                <w:sz w:val="22"/>
                <w:szCs w:val="22"/>
                <w:lang w:val="en-GB"/>
              </w:rPr>
              <w:t>Household</w:t>
            </w:r>
          </w:p>
        </w:tc>
        <w:tc>
          <w:tcPr>
            <w:tcW w:w="1107" w:type="dxa"/>
            <w:shd w:val="clear" w:color="auto" w:fill="auto"/>
            <w:noWrap/>
            <w:vAlign w:val="bottom"/>
            <w:hideMark/>
          </w:tcPr>
          <w:p w14:paraId="54ED81E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p>
        </w:tc>
        <w:tc>
          <w:tcPr>
            <w:tcW w:w="1107" w:type="dxa"/>
            <w:shd w:val="clear" w:color="auto" w:fill="auto"/>
            <w:noWrap/>
            <w:vAlign w:val="bottom"/>
            <w:hideMark/>
          </w:tcPr>
          <w:p w14:paraId="369DFE19"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6629C3DF" w14:textId="77777777" w:rsidR="00576FA1" w:rsidRPr="00CE240D" w:rsidRDefault="00576FA1" w:rsidP="004F019F">
            <w:pPr>
              <w:overflowPunct/>
              <w:autoSpaceDE/>
              <w:autoSpaceDN/>
              <w:adjustRightInd/>
              <w:textAlignment w:val="auto"/>
              <w:rPr>
                <w:lang w:val="en-GB"/>
              </w:rPr>
            </w:pPr>
          </w:p>
        </w:tc>
      </w:tr>
      <w:tr w:rsidR="00576FA1" w:rsidRPr="00CE240D" w14:paraId="10125166" w14:textId="77777777" w:rsidTr="004F019F">
        <w:trPr>
          <w:trHeight w:val="300"/>
          <w:jc w:val="center"/>
        </w:trPr>
        <w:tc>
          <w:tcPr>
            <w:tcW w:w="1496" w:type="dxa"/>
            <w:shd w:val="clear" w:color="auto" w:fill="auto"/>
            <w:noWrap/>
            <w:vAlign w:val="bottom"/>
            <w:hideMark/>
          </w:tcPr>
          <w:p w14:paraId="63117DA4"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2021</w:t>
            </w:r>
          </w:p>
        </w:tc>
        <w:tc>
          <w:tcPr>
            <w:tcW w:w="1107" w:type="dxa"/>
            <w:shd w:val="clear" w:color="auto" w:fill="auto"/>
            <w:noWrap/>
            <w:vAlign w:val="bottom"/>
            <w:hideMark/>
          </w:tcPr>
          <w:p w14:paraId="310DDD0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Census</w:t>
            </w:r>
          </w:p>
        </w:tc>
        <w:tc>
          <w:tcPr>
            <w:tcW w:w="1107" w:type="dxa"/>
            <w:shd w:val="clear" w:color="auto" w:fill="auto"/>
            <w:noWrap/>
            <w:vAlign w:val="bottom"/>
            <w:hideMark/>
          </w:tcPr>
          <w:p w14:paraId="7BE48D2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ONS2014</w:t>
            </w:r>
          </w:p>
        </w:tc>
        <w:tc>
          <w:tcPr>
            <w:tcW w:w="1107" w:type="dxa"/>
            <w:shd w:val="clear" w:color="auto" w:fill="auto"/>
            <w:noWrap/>
            <w:vAlign w:val="bottom"/>
            <w:hideMark/>
          </w:tcPr>
          <w:p w14:paraId="0A084C44"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ONS2016</w:t>
            </w:r>
          </w:p>
        </w:tc>
        <w:tc>
          <w:tcPr>
            <w:tcW w:w="1107" w:type="dxa"/>
            <w:shd w:val="clear" w:color="auto" w:fill="auto"/>
            <w:noWrap/>
            <w:vAlign w:val="bottom"/>
            <w:hideMark/>
          </w:tcPr>
          <w:p w14:paraId="7B62959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ONS2018</w:t>
            </w:r>
          </w:p>
        </w:tc>
      </w:tr>
      <w:tr w:rsidR="00576FA1" w:rsidRPr="00CE240D" w14:paraId="2F161330" w14:textId="77777777" w:rsidTr="004F019F">
        <w:trPr>
          <w:trHeight w:val="300"/>
          <w:jc w:val="center"/>
        </w:trPr>
        <w:tc>
          <w:tcPr>
            <w:tcW w:w="1496" w:type="dxa"/>
            <w:shd w:val="clear" w:color="auto" w:fill="auto"/>
            <w:noWrap/>
            <w:vAlign w:val="bottom"/>
            <w:hideMark/>
          </w:tcPr>
          <w:p w14:paraId="29C973B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Dudley</w:t>
            </w:r>
          </w:p>
        </w:tc>
        <w:tc>
          <w:tcPr>
            <w:tcW w:w="1107" w:type="dxa"/>
            <w:shd w:val="clear" w:color="auto" w:fill="auto"/>
            <w:noWrap/>
            <w:vAlign w:val="bottom"/>
            <w:hideMark/>
          </w:tcPr>
          <w:p w14:paraId="3069467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137,100</w:t>
            </w:r>
          </w:p>
        </w:tc>
        <w:tc>
          <w:tcPr>
            <w:tcW w:w="1107" w:type="dxa"/>
            <w:shd w:val="clear" w:color="auto" w:fill="auto"/>
            <w:noWrap/>
            <w:vAlign w:val="bottom"/>
            <w:hideMark/>
          </w:tcPr>
          <w:p w14:paraId="51C211C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134,789</w:t>
            </w:r>
          </w:p>
        </w:tc>
        <w:tc>
          <w:tcPr>
            <w:tcW w:w="1107" w:type="dxa"/>
            <w:shd w:val="clear" w:color="auto" w:fill="auto"/>
            <w:noWrap/>
            <w:vAlign w:val="bottom"/>
            <w:hideMark/>
          </w:tcPr>
          <w:p w14:paraId="1D3126D6"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134,682</w:t>
            </w:r>
          </w:p>
        </w:tc>
        <w:tc>
          <w:tcPr>
            <w:tcW w:w="1107" w:type="dxa"/>
            <w:shd w:val="clear" w:color="auto" w:fill="auto"/>
            <w:noWrap/>
            <w:vAlign w:val="bottom"/>
            <w:hideMark/>
          </w:tcPr>
          <w:p w14:paraId="01AB98E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135,821</w:t>
            </w:r>
          </w:p>
        </w:tc>
      </w:tr>
      <w:tr w:rsidR="00576FA1" w:rsidRPr="00CE240D" w14:paraId="424775B7" w14:textId="77777777" w:rsidTr="004F019F">
        <w:trPr>
          <w:trHeight w:val="300"/>
          <w:jc w:val="center"/>
        </w:trPr>
        <w:tc>
          <w:tcPr>
            <w:tcW w:w="1496" w:type="dxa"/>
            <w:shd w:val="clear" w:color="auto" w:fill="auto"/>
            <w:noWrap/>
            <w:vAlign w:val="bottom"/>
            <w:hideMark/>
          </w:tcPr>
          <w:p w14:paraId="7CEAEB88"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Sandwell</w:t>
            </w:r>
          </w:p>
        </w:tc>
        <w:tc>
          <w:tcPr>
            <w:tcW w:w="1107" w:type="dxa"/>
            <w:shd w:val="clear" w:color="auto" w:fill="auto"/>
            <w:noWrap/>
            <w:vAlign w:val="bottom"/>
            <w:hideMark/>
          </w:tcPr>
          <w:p w14:paraId="5B5AC21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130,200</w:t>
            </w:r>
          </w:p>
        </w:tc>
        <w:tc>
          <w:tcPr>
            <w:tcW w:w="1107" w:type="dxa"/>
            <w:shd w:val="clear" w:color="auto" w:fill="auto"/>
            <w:noWrap/>
            <w:vAlign w:val="bottom"/>
            <w:hideMark/>
          </w:tcPr>
          <w:p w14:paraId="43D56FD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134,074</w:t>
            </w:r>
          </w:p>
        </w:tc>
        <w:tc>
          <w:tcPr>
            <w:tcW w:w="1107" w:type="dxa"/>
            <w:shd w:val="clear" w:color="auto" w:fill="auto"/>
            <w:noWrap/>
            <w:vAlign w:val="bottom"/>
            <w:hideMark/>
          </w:tcPr>
          <w:p w14:paraId="6E30190A"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128,790</w:t>
            </w:r>
          </w:p>
        </w:tc>
        <w:tc>
          <w:tcPr>
            <w:tcW w:w="1107" w:type="dxa"/>
            <w:shd w:val="clear" w:color="auto" w:fill="auto"/>
            <w:noWrap/>
            <w:vAlign w:val="bottom"/>
            <w:hideMark/>
          </w:tcPr>
          <w:p w14:paraId="463D8C98"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128,571</w:t>
            </w:r>
          </w:p>
        </w:tc>
      </w:tr>
      <w:tr w:rsidR="00576FA1" w:rsidRPr="00CE240D" w14:paraId="0946BF73" w14:textId="77777777" w:rsidTr="004F019F">
        <w:trPr>
          <w:trHeight w:val="300"/>
          <w:jc w:val="center"/>
        </w:trPr>
        <w:tc>
          <w:tcPr>
            <w:tcW w:w="1496" w:type="dxa"/>
            <w:shd w:val="clear" w:color="auto" w:fill="auto"/>
            <w:noWrap/>
            <w:vAlign w:val="bottom"/>
            <w:hideMark/>
          </w:tcPr>
          <w:p w14:paraId="4A7BC6C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Walsall</w:t>
            </w:r>
          </w:p>
        </w:tc>
        <w:tc>
          <w:tcPr>
            <w:tcW w:w="1107" w:type="dxa"/>
            <w:shd w:val="clear" w:color="auto" w:fill="auto"/>
            <w:noWrap/>
            <w:vAlign w:val="bottom"/>
            <w:hideMark/>
          </w:tcPr>
          <w:p w14:paraId="0986475F"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112,200</w:t>
            </w:r>
          </w:p>
        </w:tc>
        <w:tc>
          <w:tcPr>
            <w:tcW w:w="1107" w:type="dxa"/>
            <w:shd w:val="clear" w:color="auto" w:fill="auto"/>
            <w:noWrap/>
            <w:vAlign w:val="bottom"/>
            <w:hideMark/>
          </w:tcPr>
          <w:p w14:paraId="7F6CB10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115,825</w:t>
            </w:r>
          </w:p>
        </w:tc>
        <w:tc>
          <w:tcPr>
            <w:tcW w:w="1107" w:type="dxa"/>
            <w:shd w:val="clear" w:color="auto" w:fill="auto"/>
            <w:noWrap/>
            <w:vAlign w:val="bottom"/>
            <w:hideMark/>
          </w:tcPr>
          <w:p w14:paraId="07CFFEC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113,626</w:t>
            </w:r>
          </w:p>
        </w:tc>
        <w:tc>
          <w:tcPr>
            <w:tcW w:w="1107" w:type="dxa"/>
            <w:shd w:val="clear" w:color="auto" w:fill="auto"/>
            <w:noWrap/>
            <w:vAlign w:val="bottom"/>
            <w:hideMark/>
          </w:tcPr>
          <w:p w14:paraId="516E2322"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113,951</w:t>
            </w:r>
          </w:p>
        </w:tc>
      </w:tr>
      <w:tr w:rsidR="00576FA1" w:rsidRPr="00CE240D" w14:paraId="4151EC4F" w14:textId="77777777" w:rsidTr="004F019F">
        <w:trPr>
          <w:trHeight w:val="300"/>
          <w:jc w:val="center"/>
        </w:trPr>
        <w:tc>
          <w:tcPr>
            <w:tcW w:w="1496" w:type="dxa"/>
            <w:shd w:val="clear" w:color="auto" w:fill="auto"/>
            <w:noWrap/>
            <w:vAlign w:val="bottom"/>
            <w:hideMark/>
          </w:tcPr>
          <w:p w14:paraId="7A2B480F"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Wolverhampton</w:t>
            </w:r>
          </w:p>
        </w:tc>
        <w:tc>
          <w:tcPr>
            <w:tcW w:w="1107" w:type="dxa"/>
            <w:shd w:val="clear" w:color="auto" w:fill="auto"/>
            <w:noWrap/>
            <w:vAlign w:val="bottom"/>
            <w:hideMark/>
          </w:tcPr>
          <w:p w14:paraId="69786ADF"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105,100</w:t>
            </w:r>
          </w:p>
        </w:tc>
        <w:tc>
          <w:tcPr>
            <w:tcW w:w="1107" w:type="dxa"/>
            <w:shd w:val="clear" w:color="auto" w:fill="auto"/>
            <w:noWrap/>
            <w:vAlign w:val="bottom"/>
            <w:hideMark/>
          </w:tcPr>
          <w:p w14:paraId="4BA8DDE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108,673</w:t>
            </w:r>
          </w:p>
        </w:tc>
        <w:tc>
          <w:tcPr>
            <w:tcW w:w="1107" w:type="dxa"/>
            <w:shd w:val="clear" w:color="auto" w:fill="auto"/>
            <w:noWrap/>
            <w:vAlign w:val="bottom"/>
            <w:hideMark/>
          </w:tcPr>
          <w:p w14:paraId="2856C30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106,757</w:t>
            </w:r>
          </w:p>
        </w:tc>
        <w:tc>
          <w:tcPr>
            <w:tcW w:w="1107" w:type="dxa"/>
            <w:shd w:val="clear" w:color="auto" w:fill="auto"/>
            <w:noWrap/>
            <w:vAlign w:val="bottom"/>
            <w:hideMark/>
          </w:tcPr>
          <w:p w14:paraId="2385065D"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107,664</w:t>
            </w:r>
          </w:p>
        </w:tc>
      </w:tr>
      <w:tr w:rsidR="00576FA1" w:rsidRPr="00CE240D" w14:paraId="27C7E9D8" w14:textId="77777777" w:rsidTr="004F019F">
        <w:trPr>
          <w:trHeight w:val="300"/>
          <w:jc w:val="center"/>
        </w:trPr>
        <w:tc>
          <w:tcPr>
            <w:tcW w:w="1496" w:type="dxa"/>
            <w:shd w:val="clear" w:color="auto" w:fill="auto"/>
            <w:noWrap/>
            <w:vAlign w:val="bottom"/>
            <w:hideMark/>
          </w:tcPr>
          <w:p w14:paraId="7EE37A52"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Black Country</w:t>
            </w:r>
          </w:p>
        </w:tc>
        <w:tc>
          <w:tcPr>
            <w:tcW w:w="1107" w:type="dxa"/>
            <w:shd w:val="clear" w:color="auto" w:fill="auto"/>
            <w:noWrap/>
            <w:vAlign w:val="bottom"/>
            <w:hideMark/>
          </w:tcPr>
          <w:p w14:paraId="77D8A401"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484,600</w:t>
            </w:r>
          </w:p>
        </w:tc>
        <w:tc>
          <w:tcPr>
            <w:tcW w:w="1107" w:type="dxa"/>
            <w:shd w:val="clear" w:color="auto" w:fill="auto"/>
            <w:noWrap/>
            <w:vAlign w:val="bottom"/>
            <w:hideMark/>
          </w:tcPr>
          <w:p w14:paraId="4D18C342"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493,361</w:t>
            </w:r>
          </w:p>
        </w:tc>
        <w:tc>
          <w:tcPr>
            <w:tcW w:w="1107" w:type="dxa"/>
            <w:shd w:val="clear" w:color="auto" w:fill="auto"/>
            <w:noWrap/>
            <w:vAlign w:val="bottom"/>
            <w:hideMark/>
          </w:tcPr>
          <w:p w14:paraId="4A078F6C"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483,855</w:t>
            </w:r>
          </w:p>
        </w:tc>
        <w:tc>
          <w:tcPr>
            <w:tcW w:w="1107" w:type="dxa"/>
            <w:shd w:val="clear" w:color="auto" w:fill="auto"/>
            <w:noWrap/>
            <w:vAlign w:val="bottom"/>
            <w:hideMark/>
          </w:tcPr>
          <w:p w14:paraId="1F15F0E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486,007</w:t>
            </w:r>
          </w:p>
        </w:tc>
      </w:tr>
      <w:tr w:rsidR="00576FA1" w:rsidRPr="00CE240D" w14:paraId="08933F17" w14:textId="77777777" w:rsidTr="004F019F">
        <w:trPr>
          <w:trHeight w:val="300"/>
          <w:jc w:val="center"/>
        </w:trPr>
        <w:tc>
          <w:tcPr>
            <w:tcW w:w="2603" w:type="dxa"/>
            <w:gridSpan w:val="2"/>
            <w:shd w:val="clear" w:color="auto" w:fill="auto"/>
            <w:noWrap/>
            <w:vAlign w:val="bottom"/>
            <w:hideMark/>
          </w:tcPr>
          <w:p w14:paraId="3B62DD1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Difference to Census</w:t>
            </w:r>
          </w:p>
        </w:tc>
        <w:tc>
          <w:tcPr>
            <w:tcW w:w="1107" w:type="dxa"/>
            <w:shd w:val="clear" w:color="auto" w:fill="auto"/>
            <w:noWrap/>
            <w:vAlign w:val="bottom"/>
            <w:hideMark/>
          </w:tcPr>
          <w:p w14:paraId="5AC851C2"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-8,761</w:t>
            </w:r>
          </w:p>
        </w:tc>
        <w:tc>
          <w:tcPr>
            <w:tcW w:w="1107" w:type="dxa"/>
            <w:shd w:val="clear" w:color="auto" w:fill="auto"/>
            <w:noWrap/>
            <w:vAlign w:val="bottom"/>
            <w:hideMark/>
          </w:tcPr>
          <w:p w14:paraId="51F5653A"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745</w:t>
            </w:r>
          </w:p>
        </w:tc>
        <w:tc>
          <w:tcPr>
            <w:tcW w:w="1107" w:type="dxa"/>
            <w:shd w:val="clear" w:color="auto" w:fill="auto"/>
            <w:noWrap/>
            <w:vAlign w:val="bottom"/>
            <w:hideMark/>
          </w:tcPr>
          <w:p w14:paraId="4E395589"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-1,407</w:t>
            </w:r>
          </w:p>
        </w:tc>
      </w:tr>
      <w:tr w:rsidR="00576FA1" w:rsidRPr="00CE240D" w14:paraId="7A900238" w14:textId="77777777" w:rsidTr="004F019F">
        <w:trPr>
          <w:trHeight w:val="300"/>
          <w:jc w:val="center"/>
        </w:trPr>
        <w:tc>
          <w:tcPr>
            <w:tcW w:w="1496" w:type="dxa"/>
            <w:shd w:val="clear" w:color="auto" w:fill="auto"/>
            <w:noWrap/>
            <w:vAlign w:val="bottom"/>
            <w:hideMark/>
          </w:tcPr>
          <w:p w14:paraId="13E8126D"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p>
        </w:tc>
        <w:tc>
          <w:tcPr>
            <w:tcW w:w="1107" w:type="dxa"/>
            <w:shd w:val="clear" w:color="auto" w:fill="auto"/>
            <w:noWrap/>
            <w:vAlign w:val="bottom"/>
            <w:hideMark/>
          </w:tcPr>
          <w:p w14:paraId="4917947F"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28A8AF1E"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6A52E9B6"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09DCE6D4" w14:textId="77777777" w:rsidR="00576FA1" w:rsidRPr="00CE240D" w:rsidRDefault="00576FA1" w:rsidP="004F019F">
            <w:pPr>
              <w:overflowPunct/>
              <w:autoSpaceDE/>
              <w:autoSpaceDN/>
              <w:adjustRightInd/>
              <w:textAlignment w:val="auto"/>
              <w:rPr>
                <w:lang w:val="en-GB"/>
              </w:rPr>
            </w:pPr>
          </w:p>
        </w:tc>
      </w:tr>
      <w:tr w:rsidR="00576FA1" w:rsidRPr="00CE240D" w14:paraId="6914627C" w14:textId="77777777" w:rsidTr="004F019F">
        <w:trPr>
          <w:trHeight w:val="300"/>
          <w:jc w:val="center"/>
        </w:trPr>
        <w:tc>
          <w:tcPr>
            <w:tcW w:w="2603" w:type="dxa"/>
            <w:gridSpan w:val="2"/>
            <w:shd w:val="clear" w:color="auto" w:fill="auto"/>
            <w:noWrap/>
            <w:vAlign w:val="bottom"/>
            <w:hideMark/>
          </w:tcPr>
          <w:p w14:paraId="01B208D2"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Household Size</w:t>
            </w:r>
          </w:p>
        </w:tc>
        <w:tc>
          <w:tcPr>
            <w:tcW w:w="1107" w:type="dxa"/>
            <w:shd w:val="clear" w:color="auto" w:fill="auto"/>
            <w:noWrap/>
            <w:vAlign w:val="bottom"/>
            <w:hideMark/>
          </w:tcPr>
          <w:p w14:paraId="2609181D"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p>
        </w:tc>
        <w:tc>
          <w:tcPr>
            <w:tcW w:w="1107" w:type="dxa"/>
            <w:shd w:val="clear" w:color="auto" w:fill="auto"/>
            <w:noWrap/>
            <w:vAlign w:val="bottom"/>
            <w:hideMark/>
          </w:tcPr>
          <w:p w14:paraId="45EED060" w14:textId="77777777" w:rsidR="00576FA1" w:rsidRPr="00CE240D" w:rsidRDefault="00576FA1" w:rsidP="004F019F">
            <w:pPr>
              <w:overflowPunct/>
              <w:autoSpaceDE/>
              <w:autoSpaceDN/>
              <w:adjustRightInd/>
              <w:textAlignment w:val="auto"/>
              <w:rPr>
                <w:lang w:val="en-GB"/>
              </w:rPr>
            </w:pPr>
          </w:p>
        </w:tc>
        <w:tc>
          <w:tcPr>
            <w:tcW w:w="1107" w:type="dxa"/>
            <w:shd w:val="clear" w:color="auto" w:fill="auto"/>
            <w:noWrap/>
            <w:vAlign w:val="bottom"/>
            <w:hideMark/>
          </w:tcPr>
          <w:p w14:paraId="75BCDA6C" w14:textId="77777777" w:rsidR="00576FA1" w:rsidRPr="00CE240D" w:rsidRDefault="00576FA1" w:rsidP="004F019F">
            <w:pPr>
              <w:overflowPunct/>
              <w:autoSpaceDE/>
              <w:autoSpaceDN/>
              <w:adjustRightInd/>
              <w:textAlignment w:val="auto"/>
              <w:rPr>
                <w:lang w:val="en-GB"/>
              </w:rPr>
            </w:pPr>
          </w:p>
        </w:tc>
      </w:tr>
      <w:tr w:rsidR="00576FA1" w:rsidRPr="00CE240D" w14:paraId="60BA10FE" w14:textId="77777777" w:rsidTr="004F019F">
        <w:trPr>
          <w:trHeight w:val="300"/>
          <w:jc w:val="center"/>
        </w:trPr>
        <w:tc>
          <w:tcPr>
            <w:tcW w:w="1496" w:type="dxa"/>
            <w:shd w:val="clear" w:color="auto" w:fill="auto"/>
            <w:noWrap/>
            <w:vAlign w:val="bottom"/>
            <w:hideMark/>
          </w:tcPr>
          <w:p w14:paraId="4E1315A0"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2021</w:t>
            </w:r>
          </w:p>
        </w:tc>
        <w:tc>
          <w:tcPr>
            <w:tcW w:w="1107" w:type="dxa"/>
            <w:shd w:val="clear" w:color="auto" w:fill="auto"/>
            <w:noWrap/>
            <w:vAlign w:val="bottom"/>
            <w:hideMark/>
          </w:tcPr>
          <w:p w14:paraId="4D316827"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Census</w:t>
            </w:r>
          </w:p>
        </w:tc>
        <w:tc>
          <w:tcPr>
            <w:tcW w:w="1107" w:type="dxa"/>
            <w:shd w:val="clear" w:color="auto" w:fill="auto"/>
            <w:noWrap/>
            <w:vAlign w:val="bottom"/>
            <w:hideMark/>
          </w:tcPr>
          <w:p w14:paraId="7B756F84"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ONS2014</w:t>
            </w:r>
          </w:p>
        </w:tc>
        <w:tc>
          <w:tcPr>
            <w:tcW w:w="1107" w:type="dxa"/>
            <w:shd w:val="clear" w:color="auto" w:fill="auto"/>
            <w:noWrap/>
            <w:vAlign w:val="bottom"/>
            <w:hideMark/>
          </w:tcPr>
          <w:p w14:paraId="63440281"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ONS2016</w:t>
            </w:r>
          </w:p>
        </w:tc>
        <w:tc>
          <w:tcPr>
            <w:tcW w:w="1107" w:type="dxa"/>
            <w:shd w:val="clear" w:color="auto" w:fill="auto"/>
            <w:noWrap/>
            <w:vAlign w:val="bottom"/>
            <w:hideMark/>
          </w:tcPr>
          <w:p w14:paraId="4320E9E7"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ONS2018</w:t>
            </w:r>
          </w:p>
        </w:tc>
      </w:tr>
      <w:tr w:rsidR="00576FA1" w:rsidRPr="00CE240D" w14:paraId="626D9EF0" w14:textId="77777777" w:rsidTr="004F019F">
        <w:trPr>
          <w:trHeight w:val="300"/>
          <w:jc w:val="center"/>
        </w:trPr>
        <w:tc>
          <w:tcPr>
            <w:tcW w:w="1496" w:type="dxa"/>
            <w:shd w:val="clear" w:color="auto" w:fill="auto"/>
            <w:noWrap/>
            <w:vAlign w:val="bottom"/>
            <w:hideMark/>
          </w:tcPr>
          <w:p w14:paraId="5D2AC47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Dudley</w:t>
            </w:r>
          </w:p>
        </w:tc>
        <w:tc>
          <w:tcPr>
            <w:tcW w:w="1107" w:type="dxa"/>
            <w:shd w:val="clear" w:color="auto" w:fill="auto"/>
            <w:noWrap/>
            <w:vAlign w:val="bottom"/>
            <w:hideMark/>
          </w:tcPr>
          <w:p w14:paraId="4CBF6A5C"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2.36</w:t>
            </w:r>
          </w:p>
        </w:tc>
        <w:tc>
          <w:tcPr>
            <w:tcW w:w="1107" w:type="dxa"/>
            <w:shd w:val="clear" w:color="auto" w:fill="auto"/>
            <w:noWrap/>
            <w:vAlign w:val="bottom"/>
            <w:hideMark/>
          </w:tcPr>
          <w:p w14:paraId="66602B8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2.39</w:t>
            </w:r>
          </w:p>
        </w:tc>
        <w:tc>
          <w:tcPr>
            <w:tcW w:w="1107" w:type="dxa"/>
            <w:shd w:val="clear" w:color="auto" w:fill="auto"/>
            <w:noWrap/>
            <w:vAlign w:val="bottom"/>
            <w:hideMark/>
          </w:tcPr>
          <w:p w14:paraId="1273C227"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2.39</w:t>
            </w:r>
          </w:p>
        </w:tc>
        <w:tc>
          <w:tcPr>
            <w:tcW w:w="1107" w:type="dxa"/>
            <w:shd w:val="clear" w:color="auto" w:fill="auto"/>
            <w:noWrap/>
            <w:vAlign w:val="bottom"/>
            <w:hideMark/>
          </w:tcPr>
          <w:p w14:paraId="7DEC044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2.39</w:t>
            </w:r>
          </w:p>
        </w:tc>
      </w:tr>
      <w:tr w:rsidR="00576FA1" w:rsidRPr="00CE240D" w14:paraId="7C706652" w14:textId="77777777" w:rsidTr="004F019F">
        <w:trPr>
          <w:trHeight w:val="300"/>
          <w:jc w:val="center"/>
        </w:trPr>
        <w:tc>
          <w:tcPr>
            <w:tcW w:w="1496" w:type="dxa"/>
            <w:shd w:val="clear" w:color="auto" w:fill="auto"/>
            <w:noWrap/>
            <w:vAlign w:val="bottom"/>
            <w:hideMark/>
          </w:tcPr>
          <w:p w14:paraId="22775A6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Sandwell</w:t>
            </w:r>
          </w:p>
        </w:tc>
        <w:tc>
          <w:tcPr>
            <w:tcW w:w="1107" w:type="dxa"/>
            <w:shd w:val="clear" w:color="auto" w:fill="auto"/>
            <w:noWrap/>
            <w:vAlign w:val="bottom"/>
            <w:hideMark/>
          </w:tcPr>
          <w:p w14:paraId="57D39C2C"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2.63</w:t>
            </w:r>
          </w:p>
        </w:tc>
        <w:tc>
          <w:tcPr>
            <w:tcW w:w="1107" w:type="dxa"/>
            <w:shd w:val="clear" w:color="auto" w:fill="auto"/>
            <w:noWrap/>
            <w:vAlign w:val="bottom"/>
            <w:hideMark/>
          </w:tcPr>
          <w:p w14:paraId="6C1B28C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2.50</w:t>
            </w:r>
          </w:p>
        </w:tc>
        <w:tc>
          <w:tcPr>
            <w:tcW w:w="1107" w:type="dxa"/>
            <w:shd w:val="clear" w:color="auto" w:fill="auto"/>
            <w:noWrap/>
            <w:vAlign w:val="bottom"/>
            <w:hideMark/>
          </w:tcPr>
          <w:p w14:paraId="68F7A671"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2.60</w:t>
            </w:r>
          </w:p>
        </w:tc>
        <w:tc>
          <w:tcPr>
            <w:tcW w:w="1107" w:type="dxa"/>
            <w:shd w:val="clear" w:color="auto" w:fill="auto"/>
            <w:noWrap/>
            <w:vAlign w:val="bottom"/>
            <w:hideMark/>
          </w:tcPr>
          <w:p w14:paraId="7FB9229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2.60</w:t>
            </w:r>
          </w:p>
        </w:tc>
      </w:tr>
      <w:tr w:rsidR="00576FA1" w:rsidRPr="00CE240D" w14:paraId="2EBFC143" w14:textId="77777777" w:rsidTr="004F019F">
        <w:trPr>
          <w:trHeight w:val="300"/>
          <w:jc w:val="center"/>
        </w:trPr>
        <w:tc>
          <w:tcPr>
            <w:tcW w:w="1496" w:type="dxa"/>
            <w:shd w:val="clear" w:color="auto" w:fill="auto"/>
            <w:noWrap/>
            <w:vAlign w:val="bottom"/>
            <w:hideMark/>
          </w:tcPr>
          <w:p w14:paraId="7F1260F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Walsall</w:t>
            </w:r>
          </w:p>
        </w:tc>
        <w:tc>
          <w:tcPr>
            <w:tcW w:w="1107" w:type="dxa"/>
            <w:shd w:val="clear" w:color="auto" w:fill="auto"/>
            <w:noWrap/>
            <w:vAlign w:val="bottom"/>
            <w:hideMark/>
          </w:tcPr>
          <w:p w14:paraId="7F1F6D7F"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2.53</w:t>
            </w:r>
          </w:p>
        </w:tc>
        <w:tc>
          <w:tcPr>
            <w:tcW w:w="1107" w:type="dxa"/>
            <w:shd w:val="clear" w:color="auto" w:fill="auto"/>
            <w:noWrap/>
            <w:vAlign w:val="bottom"/>
            <w:hideMark/>
          </w:tcPr>
          <w:p w14:paraId="73B8AC20"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2.46</w:t>
            </w:r>
          </w:p>
        </w:tc>
        <w:tc>
          <w:tcPr>
            <w:tcW w:w="1107" w:type="dxa"/>
            <w:shd w:val="clear" w:color="auto" w:fill="auto"/>
            <w:noWrap/>
            <w:vAlign w:val="bottom"/>
            <w:hideMark/>
          </w:tcPr>
          <w:p w14:paraId="0EB045BC"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2.53</w:t>
            </w:r>
          </w:p>
        </w:tc>
        <w:tc>
          <w:tcPr>
            <w:tcW w:w="1107" w:type="dxa"/>
            <w:shd w:val="clear" w:color="auto" w:fill="auto"/>
            <w:noWrap/>
            <w:vAlign w:val="bottom"/>
            <w:hideMark/>
          </w:tcPr>
          <w:p w14:paraId="1B6FE56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2.54</w:t>
            </w:r>
          </w:p>
        </w:tc>
      </w:tr>
      <w:tr w:rsidR="00576FA1" w:rsidRPr="00CE240D" w14:paraId="2D1D5B56" w14:textId="77777777" w:rsidTr="004F019F">
        <w:trPr>
          <w:trHeight w:val="300"/>
          <w:jc w:val="center"/>
        </w:trPr>
        <w:tc>
          <w:tcPr>
            <w:tcW w:w="1496" w:type="dxa"/>
            <w:shd w:val="clear" w:color="auto" w:fill="auto"/>
            <w:noWrap/>
            <w:vAlign w:val="bottom"/>
            <w:hideMark/>
          </w:tcPr>
          <w:p w14:paraId="0D65E6F5"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Wolverhampton</w:t>
            </w:r>
          </w:p>
        </w:tc>
        <w:tc>
          <w:tcPr>
            <w:tcW w:w="1107" w:type="dxa"/>
            <w:shd w:val="clear" w:color="auto" w:fill="auto"/>
            <w:noWrap/>
            <w:vAlign w:val="bottom"/>
            <w:hideMark/>
          </w:tcPr>
          <w:p w14:paraId="195A00A6"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2.51</w:t>
            </w:r>
          </w:p>
        </w:tc>
        <w:tc>
          <w:tcPr>
            <w:tcW w:w="1107" w:type="dxa"/>
            <w:shd w:val="clear" w:color="auto" w:fill="auto"/>
            <w:noWrap/>
            <w:vAlign w:val="bottom"/>
            <w:hideMark/>
          </w:tcPr>
          <w:p w14:paraId="2CD7AA43"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2.42</w:t>
            </w:r>
          </w:p>
        </w:tc>
        <w:tc>
          <w:tcPr>
            <w:tcW w:w="1107" w:type="dxa"/>
            <w:shd w:val="clear" w:color="auto" w:fill="auto"/>
            <w:noWrap/>
            <w:vAlign w:val="bottom"/>
            <w:hideMark/>
          </w:tcPr>
          <w:p w14:paraId="68AB8A87"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2.48</w:t>
            </w:r>
          </w:p>
        </w:tc>
        <w:tc>
          <w:tcPr>
            <w:tcW w:w="1107" w:type="dxa"/>
            <w:shd w:val="clear" w:color="auto" w:fill="auto"/>
            <w:noWrap/>
            <w:vAlign w:val="bottom"/>
            <w:hideMark/>
          </w:tcPr>
          <w:p w14:paraId="17EE541B"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2.48</w:t>
            </w:r>
          </w:p>
        </w:tc>
      </w:tr>
      <w:tr w:rsidR="00576FA1" w:rsidRPr="00CE240D" w14:paraId="504BDC08" w14:textId="77777777" w:rsidTr="004F019F">
        <w:trPr>
          <w:trHeight w:val="300"/>
          <w:jc w:val="center"/>
        </w:trPr>
        <w:tc>
          <w:tcPr>
            <w:tcW w:w="1496" w:type="dxa"/>
            <w:shd w:val="clear" w:color="auto" w:fill="auto"/>
            <w:noWrap/>
            <w:vAlign w:val="bottom"/>
            <w:hideMark/>
          </w:tcPr>
          <w:p w14:paraId="5A45CFAD"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Black Country</w:t>
            </w:r>
          </w:p>
        </w:tc>
        <w:tc>
          <w:tcPr>
            <w:tcW w:w="1107" w:type="dxa"/>
            <w:shd w:val="clear" w:color="auto" w:fill="auto"/>
            <w:noWrap/>
            <w:vAlign w:val="bottom"/>
            <w:hideMark/>
          </w:tcPr>
          <w:p w14:paraId="433D0D18"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2.50</w:t>
            </w:r>
          </w:p>
        </w:tc>
        <w:tc>
          <w:tcPr>
            <w:tcW w:w="1107" w:type="dxa"/>
            <w:shd w:val="clear" w:color="auto" w:fill="auto"/>
            <w:noWrap/>
            <w:vAlign w:val="bottom"/>
            <w:hideMark/>
          </w:tcPr>
          <w:p w14:paraId="182C251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2.44</w:t>
            </w:r>
          </w:p>
        </w:tc>
        <w:tc>
          <w:tcPr>
            <w:tcW w:w="1107" w:type="dxa"/>
            <w:shd w:val="clear" w:color="auto" w:fill="auto"/>
            <w:noWrap/>
            <w:vAlign w:val="bottom"/>
            <w:hideMark/>
          </w:tcPr>
          <w:p w14:paraId="7098A9B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2.50</w:t>
            </w:r>
          </w:p>
        </w:tc>
        <w:tc>
          <w:tcPr>
            <w:tcW w:w="1107" w:type="dxa"/>
            <w:shd w:val="clear" w:color="auto" w:fill="auto"/>
            <w:noWrap/>
            <w:vAlign w:val="bottom"/>
            <w:hideMark/>
          </w:tcPr>
          <w:p w14:paraId="2BB4C08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2.50</w:t>
            </w:r>
          </w:p>
        </w:tc>
      </w:tr>
      <w:tr w:rsidR="00576FA1" w:rsidRPr="00CE240D" w14:paraId="757AE1A6" w14:textId="77777777" w:rsidTr="004F019F">
        <w:trPr>
          <w:trHeight w:val="300"/>
          <w:jc w:val="center"/>
        </w:trPr>
        <w:tc>
          <w:tcPr>
            <w:tcW w:w="2603" w:type="dxa"/>
            <w:gridSpan w:val="2"/>
            <w:shd w:val="clear" w:color="auto" w:fill="auto"/>
            <w:noWrap/>
            <w:vAlign w:val="bottom"/>
            <w:hideMark/>
          </w:tcPr>
          <w:p w14:paraId="0944ED96"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Difference to Census</w:t>
            </w:r>
          </w:p>
        </w:tc>
        <w:tc>
          <w:tcPr>
            <w:tcW w:w="1107" w:type="dxa"/>
            <w:shd w:val="clear" w:color="auto" w:fill="auto"/>
            <w:noWrap/>
            <w:vAlign w:val="bottom"/>
            <w:hideMark/>
          </w:tcPr>
          <w:p w14:paraId="345B3C54"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0.06</w:t>
            </w:r>
          </w:p>
        </w:tc>
        <w:tc>
          <w:tcPr>
            <w:tcW w:w="1107" w:type="dxa"/>
            <w:shd w:val="clear" w:color="auto" w:fill="auto"/>
            <w:noWrap/>
            <w:vAlign w:val="bottom"/>
            <w:hideMark/>
          </w:tcPr>
          <w:p w14:paraId="2B263C22"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0.00</w:t>
            </w:r>
          </w:p>
        </w:tc>
        <w:tc>
          <w:tcPr>
            <w:tcW w:w="1107" w:type="dxa"/>
            <w:shd w:val="clear" w:color="auto" w:fill="auto"/>
            <w:noWrap/>
            <w:vAlign w:val="bottom"/>
            <w:hideMark/>
          </w:tcPr>
          <w:p w14:paraId="74DDA11E" w14:textId="77777777" w:rsidR="00576FA1" w:rsidRPr="00CE240D" w:rsidRDefault="00576FA1" w:rsidP="004F019F">
            <w:pPr>
              <w:overflowPunct/>
              <w:autoSpaceDE/>
              <w:autoSpaceDN/>
              <w:adjustRightInd/>
              <w:textAlignment w:val="auto"/>
              <w:rPr>
                <w:rFonts w:ascii="Calibri" w:hAnsi="Calibri" w:cs="Calibri"/>
                <w:color w:val="000000"/>
                <w:sz w:val="22"/>
                <w:szCs w:val="22"/>
                <w:lang w:val="en-GB"/>
              </w:rPr>
            </w:pPr>
            <w:r w:rsidRPr="00CE240D">
              <w:rPr>
                <w:rFonts w:ascii="Calibri" w:hAnsi="Calibri" w:cs="Calibri"/>
                <w:color w:val="000000"/>
                <w:sz w:val="22"/>
                <w:szCs w:val="22"/>
                <w:lang w:val="en-GB"/>
              </w:rPr>
              <w:t>0.00</w:t>
            </w:r>
          </w:p>
        </w:tc>
      </w:tr>
    </w:tbl>
    <w:p w14:paraId="062F90EC" w14:textId="77777777" w:rsidR="00576FA1" w:rsidRDefault="00576FA1" w:rsidP="00576FA1">
      <w:pPr>
        <w:ind w:right="333"/>
        <w:rPr>
          <w:rFonts w:ascii="Trebuchet MS" w:hAnsi="Trebuchet MS" w:cs="Arial"/>
          <w:sz w:val="24"/>
          <w:szCs w:val="24"/>
        </w:rPr>
      </w:pPr>
    </w:p>
    <w:p w14:paraId="084B9430" w14:textId="77777777" w:rsidR="00576FA1" w:rsidRDefault="00576FA1" w:rsidP="00576FA1">
      <w:pPr>
        <w:ind w:right="333"/>
        <w:rPr>
          <w:rFonts w:ascii="Trebuchet MS" w:hAnsi="Trebuchet MS" w:cs="Arial"/>
          <w:sz w:val="24"/>
          <w:szCs w:val="24"/>
        </w:rPr>
      </w:pPr>
    </w:p>
    <w:p w14:paraId="5680A6F7" w14:textId="053CDC09" w:rsidR="00576FA1" w:rsidRDefault="00482EA5" w:rsidP="00576FA1">
      <w:pPr>
        <w:ind w:right="333"/>
        <w:rPr>
          <w:rFonts w:ascii="Trebuchet MS" w:hAnsi="Trebuchet MS" w:cs="Arial"/>
          <w:sz w:val="24"/>
          <w:szCs w:val="24"/>
        </w:rPr>
      </w:pPr>
      <w:r>
        <w:rPr>
          <w:rFonts w:ascii="Trebuchet MS" w:hAnsi="Trebuchet MS" w:cs="Arial"/>
          <w:sz w:val="24"/>
          <w:szCs w:val="24"/>
        </w:rPr>
        <w:t xml:space="preserve">2.11 </w:t>
      </w:r>
      <w:r w:rsidR="00576FA1">
        <w:rPr>
          <w:rFonts w:ascii="Trebuchet MS" w:hAnsi="Trebuchet MS" w:cs="Arial"/>
          <w:sz w:val="24"/>
          <w:szCs w:val="24"/>
        </w:rPr>
        <w:t xml:space="preserve">The view of ABCA, </w:t>
      </w:r>
      <w:r w:rsidR="00E77A10">
        <w:rPr>
          <w:rFonts w:ascii="Trebuchet MS" w:hAnsi="Trebuchet MS" w:cs="Arial"/>
          <w:sz w:val="24"/>
          <w:szCs w:val="24"/>
        </w:rPr>
        <w:t>(</w:t>
      </w:r>
      <w:r w:rsidR="00576FA1">
        <w:rPr>
          <w:rFonts w:ascii="Trebuchet MS" w:hAnsi="Trebuchet MS" w:cs="Arial"/>
          <w:sz w:val="24"/>
          <w:szCs w:val="24"/>
        </w:rPr>
        <w:t>expressed at the Shropshire Local Plan Examination</w:t>
      </w:r>
      <w:r w:rsidR="00E77A10">
        <w:rPr>
          <w:rFonts w:ascii="Trebuchet MS" w:hAnsi="Trebuchet MS" w:cs="Arial"/>
          <w:sz w:val="24"/>
          <w:szCs w:val="24"/>
        </w:rPr>
        <w:t>)</w:t>
      </w:r>
      <w:r w:rsidR="00576FA1">
        <w:rPr>
          <w:rFonts w:ascii="Trebuchet MS" w:hAnsi="Trebuchet MS" w:cs="Arial"/>
          <w:sz w:val="24"/>
          <w:szCs w:val="24"/>
        </w:rPr>
        <w:t xml:space="preserve">, </w:t>
      </w:r>
      <w:r w:rsidR="00204533">
        <w:rPr>
          <w:rFonts w:ascii="Trebuchet MS" w:hAnsi="Trebuchet MS" w:cs="Arial"/>
          <w:sz w:val="24"/>
          <w:szCs w:val="24"/>
        </w:rPr>
        <w:t xml:space="preserve">was </w:t>
      </w:r>
      <w:r w:rsidR="00576FA1">
        <w:rPr>
          <w:rFonts w:ascii="Trebuchet MS" w:hAnsi="Trebuchet MS" w:cs="Arial"/>
          <w:sz w:val="24"/>
          <w:szCs w:val="24"/>
        </w:rPr>
        <w:t xml:space="preserve">that these </w:t>
      </w:r>
      <w:r w:rsidR="00204533">
        <w:rPr>
          <w:rFonts w:ascii="Trebuchet MS" w:hAnsi="Trebuchet MS" w:cs="Arial"/>
          <w:sz w:val="24"/>
          <w:szCs w:val="24"/>
        </w:rPr>
        <w:t xml:space="preserve">figures </w:t>
      </w:r>
      <w:r w:rsidR="00576FA1">
        <w:rPr>
          <w:rFonts w:ascii="Trebuchet MS" w:hAnsi="Trebuchet MS" w:cs="Arial"/>
          <w:sz w:val="24"/>
          <w:szCs w:val="24"/>
        </w:rPr>
        <w:t xml:space="preserve">should not be given weight because they are, as yet, considered interim results. They do, however, bear out evidence </w:t>
      </w:r>
      <w:r w:rsidR="00204533">
        <w:rPr>
          <w:rFonts w:ascii="Trebuchet MS" w:hAnsi="Trebuchet MS" w:cs="Arial"/>
          <w:sz w:val="24"/>
          <w:szCs w:val="24"/>
        </w:rPr>
        <w:t>(</w:t>
      </w:r>
      <w:r w:rsidR="00576FA1">
        <w:rPr>
          <w:rFonts w:ascii="Trebuchet MS" w:hAnsi="Trebuchet MS" w:cs="Arial"/>
          <w:sz w:val="24"/>
          <w:szCs w:val="24"/>
        </w:rPr>
        <w:t>previously available to ABCA</w:t>
      </w:r>
      <w:r w:rsidR="00204533">
        <w:rPr>
          <w:rFonts w:ascii="Trebuchet MS" w:hAnsi="Trebuchet MS" w:cs="Arial"/>
          <w:sz w:val="24"/>
          <w:szCs w:val="24"/>
        </w:rPr>
        <w:t>)</w:t>
      </w:r>
      <w:r w:rsidR="00576FA1">
        <w:rPr>
          <w:rFonts w:ascii="Trebuchet MS" w:hAnsi="Trebuchet MS" w:cs="Arial"/>
          <w:sz w:val="24"/>
          <w:szCs w:val="24"/>
        </w:rPr>
        <w:t xml:space="preserve"> </w:t>
      </w:r>
      <w:r w:rsidR="00204533">
        <w:rPr>
          <w:rFonts w:ascii="Trebuchet MS" w:hAnsi="Trebuchet MS" w:cs="Arial"/>
          <w:sz w:val="24"/>
          <w:szCs w:val="24"/>
        </w:rPr>
        <w:t xml:space="preserve">which </w:t>
      </w:r>
      <w:r w:rsidR="00576FA1">
        <w:rPr>
          <w:rFonts w:ascii="Trebuchet MS" w:hAnsi="Trebuchet MS" w:cs="Arial"/>
          <w:sz w:val="24"/>
          <w:szCs w:val="24"/>
        </w:rPr>
        <w:t>support</w:t>
      </w:r>
      <w:r w:rsidR="00204533">
        <w:rPr>
          <w:rFonts w:ascii="Trebuchet MS" w:hAnsi="Trebuchet MS" w:cs="Arial"/>
          <w:sz w:val="24"/>
          <w:szCs w:val="24"/>
        </w:rPr>
        <w:t>s</w:t>
      </w:r>
      <w:r w:rsidR="00576FA1">
        <w:rPr>
          <w:rFonts w:ascii="Trebuchet MS" w:hAnsi="Trebuchet MS" w:cs="Arial"/>
          <w:sz w:val="24"/>
          <w:szCs w:val="24"/>
        </w:rPr>
        <w:t xml:space="preserve"> the contention that the ONS2014 projections are likely to be exaggerated, even when one excludes the additional affordability housing added to the Standard Methodology.</w:t>
      </w:r>
    </w:p>
    <w:p w14:paraId="20922E0B" w14:textId="77777777" w:rsidR="00576FA1" w:rsidRDefault="00576FA1" w:rsidP="00576FA1">
      <w:pPr>
        <w:ind w:right="333"/>
        <w:rPr>
          <w:rFonts w:ascii="Trebuchet MS" w:hAnsi="Trebuchet MS" w:cs="Arial"/>
          <w:sz w:val="24"/>
          <w:szCs w:val="24"/>
        </w:rPr>
      </w:pPr>
    </w:p>
    <w:p w14:paraId="22FD2D72" w14:textId="69D7024D" w:rsidR="00576FA1" w:rsidRDefault="00482EA5" w:rsidP="00576FA1">
      <w:pPr>
        <w:ind w:right="333"/>
        <w:rPr>
          <w:rFonts w:ascii="Trebuchet MS" w:hAnsi="Trebuchet MS" w:cs="Arial"/>
          <w:sz w:val="24"/>
          <w:szCs w:val="24"/>
        </w:rPr>
      </w:pPr>
      <w:r>
        <w:rPr>
          <w:rFonts w:ascii="Trebuchet MS" w:hAnsi="Trebuchet MS" w:cs="Arial"/>
          <w:sz w:val="24"/>
          <w:szCs w:val="24"/>
        </w:rPr>
        <w:t xml:space="preserve">2.12 </w:t>
      </w:r>
      <w:r w:rsidR="00576FA1">
        <w:rPr>
          <w:rFonts w:ascii="Trebuchet MS" w:hAnsi="Trebuchet MS" w:cs="Arial"/>
          <w:sz w:val="24"/>
          <w:szCs w:val="24"/>
        </w:rPr>
        <w:t xml:space="preserve">Paragraph 39 of the National Planning Policy Guidance (NPPG) on Housing and Economic Needs Assessment says that local authorities should not use lower projections but </w:t>
      </w:r>
      <w:r w:rsidR="00576FA1">
        <w:rPr>
          <w:rFonts w:ascii="Trebuchet MS" w:hAnsi="Trebuchet MS" w:cs="Arial"/>
          <w:sz w:val="24"/>
          <w:szCs w:val="24"/>
        </w:rPr>
        <w:lastRenderedPageBreak/>
        <w:t>can chose to use an alternative methodology which results lower housing need if there is robust evidence to support it</w:t>
      </w:r>
      <w:r w:rsidR="00576FA1">
        <w:rPr>
          <w:rStyle w:val="FootnoteReference"/>
          <w:rFonts w:ascii="Trebuchet MS" w:hAnsi="Trebuchet MS" w:cs="Arial"/>
          <w:sz w:val="24"/>
          <w:szCs w:val="24"/>
        </w:rPr>
        <w:footnoteReference w:id="2"/>
      </w:r>
      <w:r w:rsidR="00576FA1">
        <w:rPr>
          <w:rFonts w:ascii="Trebuchet MS" w:hAnsi="Trebuchet MS" w:cs="Arial"/>
          <w:sz w:val="24"/>
          <w:szCs w:val="24"/>
        </w:rPr>
        <w:t xml:space="preserve">. </w:t>
      </w:r>
    </w:p>
    <w:p w14:paraId="65C532E6" w14:textId="77777777" w:rsidR="00576FA1" w:rsidRDefault="00576FA1" w:rsidP="00576FA1">
      <w:pPr>
        <w:ind w:right="333"/>
        <w:rPr>
          <w:rFonts w:ascii="Trebuchet MS" w:hAnsi="Trebuchet MS" w:cs="Arial"/>
          <w:sz w:val="24"/>
          <w:szCs w:val="24"/>
        </w:rPr>
      </w:pPr>
    </w:p>
    <w:p w14:paraId="593E7C24" w14:textId="76BD2758" w:rsidR="00576FA1" w:rsidRDefault="00482EA5" w:rsidP="00576FA1">
      <w:pPr>
        <w:ind w:right="333"/>
        <w:rPr>
          <w:rFonts w:ascii="Trebuchet MS" w:hAnsi="Trebuchet MS" w:cs="Arial"/>
          <w:sz w:val="24"/>
          <w:szCs w:val="24"/>
        </w:rPr>
      </w:pPr>
      <w:r>
        <w:rPr>
          <w:rFonts w:ascii="Trebuchet MS" w:hAnsi="Trebuchet MS" w:cs="Arial"/>
          <w:sz w:val="24"/>
          <w:szCs w:val="24"/>
        </w:rPr>
        <w:t xml:space="preserve">2.13 </w:t>
      </w:r>
      <w:r w:rsidR="00576FA1">
        <w:rPr>
          <w:rFonts w:ascii="Trebuchet MS" w:hAnsi="Trebuchet MS" w:cs="Arial"/>
          <w:sz w:val="24"/>
          <w:szCs w:val="24"/>
        </w:rPr>
        <w:t xml:space="preserve">The Census does not represent a projection but robust evidence and </w:t>
      </w:r>
      <w:r w:rsidR="00204533">
        <w:rPr>
          <w:rFonts w:ascii="Trebuchet MS" w:hAnsi="Trebuchet MS" w:cs="Arial"/>
          <w:sz w:val="24"/>
          <w:szCs w:val="24"/>
        </w:rPr>
        <w:t>I</w:t>
      </w:r>
      <w:r w:rsidR="00576FA1">
        <w:rPr>
          <w:rFonts w:ascii="Trebuchet MS" w:hAnsi="Trebuchet MS" w:cs="Arial"/>
          <w:sz w:val="24"/>
          <w:szCs w:val="24"/>
        </w:rPr>
        <w:t xml:space="preserve">, therefore, consider the test </w:t>
      </w:r>
      <w:r w:rsidR="00204533">
        <w:rPr>
          <w:rFonts w:ascii="Trebuchet MS" w:hAnsi="Trebuchet MS" w:cs="Arial"/>
          <w:sz w:val="24"/>
          <w:szCs w:val="24"/>
        </w:rPr>
        <w:t xml:space="preserve">may well be </w:t>
      </w:r>
      <w:r w:rsidR="00576FA1">
        <w:rPr>
          <w:rFonts w:ascii="Trebuchet MS" w:hAnsi="Trebuchet MS" w:cs="Arial"/>
          <w:sz w:val="24"/>
          <w:szCs w:val="24"/>
        </w:rPr>
        <w:t xml:space="preserve">met and </w:t>
      </w:r>
      <w:r w:rsidR="00204533">
        <w:rPr>
          <w:rFonts w:ascii="Trebuchet MS" w:hAnsi="Trebuchet MS" w:cs="Arial"/>
          <w:sz w:val="24"/>
          <w:szCs w:val="24"/>
        </w:rPr>
        <w:t xml:space="preserve">Sandwell and other authorities </w:t>
      </w:r>
      <w:r w:rsidR="00EC6016">
        <w:rPr>
          <w:rFonts w:ascii="Trebuchet MS" w:hAnsi="Trebuchet MS" w:cs="Arial"/>
          <w:sz w:val="24"/>
          <w:szCs w:val="24"/>
        </w:rPr>
        <w:t>sh</w:t>
      </w:r>
      <w:r w:rsidR="00576FA1">
        <w:rPr>
          <w:rFonts w:ascii="Trebuchet MS" w:hAnsi="Trebuchet MS" w:cs="Arial"/>
          <w:sz w:val="24"/>
          <w:szCs w:val="24"/>
        </w:rPr>
        <w:t xml:space="preserve">ould seek to adjust the forecast downward in line with the Census, which would remove the need for </w:t>
      </w:r>
      <w:r w:rsidR="00204533">
        <w:rPr>
          <w:rFonts w:ascii="Trebuchet MS" w:hAnsi="Trebuchet MS" w:cs="Arial"/>
          <w:sz w:val="24"/>
          <w:szCs w:val="24"/>
        </w:rPr>
        <w:t>exporting unwarranted housing</w:t>
      </w:r>
      <w:r w:rsidR="00EC6016">
        <w:rPr>
          <w:rFonts w:ascii="Trebuchet MS" w:hAnsi="Trebuchet MS" w:cs="Arial"/>
          <w:sz w:val="24"/>
          <w:szCs w:val="24"/>
        </w:rPr>
        <w:t xml:space="preserve"> need</w:t>
      </w:r>
      <w:r w:rsidR="00576FA1">
        <w:rPr>
          <w:rFonts w:ascii="Trebuchet MS" w:hAnsi="Trebuchet MS" w:cs="Arial"/>
          <w:sz w:val="24"/>
          <w:szCs w:val="24"/>
        </w:rPr>
        <w:t xml:space="preserve">. </w:t>
      </w:r>
    </w:p>
    <w:p w14:paraId="4D2D6212" w14:textId="77777777" w:rsidR="00576FA1" w:rsidRDefault="00576FA1" w:rsidP="00576FA1">
      <w:pPr>
        <w:ind w:right="333"/>
        <w:rPr>
          <w:rFonts w:ascii="Trebuchet MS" w:hAnsi="Trebuchet MS" w:cs="Arial"/>
          <w:sz w:val="24"/>
          <w:szCs w:val="24"/>
        </w:rPr>
      </w:pPr>
    </w:p>
    <w:p w14:paraId="61182314" w14:textId="6C2342F3" w:rsidR="00576FA1" w:rsidRDefault="00482EA5" w:rsidP="00576FA1">
      <w:pPr>
        <w:ind w:right="333"/>
        <w:rPr>
          <w:rFonts w:ascii="Trebuchet MS" w:hAnsi="Trebuchet MS" w:cs="Arial"/>
          <w:sz w:val="24"/>
          <w:szCs w:val="24"/>
        </w:rPr>
      </w:pPr>
      <w:r>
        <w:rPr>
          <w:rFonts w:ascii="Trebuchet MS" w:hAnsi="Trebuchet MS" w:cs="Arial"/>
          <w:sz w:val="24"/>
          <w:szCs w:val="24"/>
        </w:rPr>
        <w:t xml:space="preserve">2.14 </w:t>
      </w:r>
      <w:r w:rsidR="00576FA1">
        <w:rPr>
          <w:rFonts w:ascii="Trebuchet MS" w:hAnsi="Trebuchet MS" w:cs="Arial"/>
          <w:sz w:val="24"/>
          <w:szCs w:val="24"/>
        </w:rPr>
        <w:t>This would indirectly have wider benefits in supporting regeneration, protecting the Green Belt, reducing (or removing) reliance on the Duty to Co-operate (which may be rescinded) and encouraging Sustainable Development Patterns.</w:t>
      </w:r>
    </w:p>
    <w:p w14:paraId="18C12749" w14:textId="77777777" w:rsidR="00204533" w:rsidRDefault="00204533" w:rsidP="00576FA1">
      <w:pPr>
        <w:ind w:right="333"/>
        <w:rPr>
          <w:rFonts w:ascii="Trebuchet MS" w:hAnsi="Trebuchet MS" w:cs="Arial"/>
          <w:sz w:val="24"/>
          <w:szCs w:val="24"/>
        </w:rPr>
      </w:pPr>
    </w:p>
    <w:p w14:paraId="16EF6400" w14:textId="4E76E84C" w:rsidR="00204533" w:rsidRDefault="00482EA5" w:rsidP="00576FA1">
      <w:pPr>
        <w:ind w:right="333"/>
        <w:rPr>
          <w:rFonts w:ascii="Trebuchet MS" w:hAnsi="Trebuchet MS" w:cs="Arial"/>
          <w:sz w:val="24"/>
          <w:szCs w:val="24"/>
        </w:rPr>
      </w:pPr>
      <w:r>
        <w:rPr>
          <w:rFonts w:ascii="Trebuchet MS" w:hAnsi="Trebuchet MS" w:cs="Arial"/>
          <w:sz w:val="24"/>
          <w:szCs w:val="24"/>
        </w:rPr>
        <w:t xml:space="preserve">2.15 </w:t>
      </w:r>
      <w:r w:rsidR="00204533">
        <w:rPr>
          <w:rFonts w:ascii="Trebuchet MS" w:hAnsi="Trebuchet MS" w:cs="Arial"/>
          <w:sz w:val="24"/>
          <w:szCs w:val="24"/>
        </w:rPr>
        <w:t xml:space="preserve">As </w:t>
      </w:r>
      <w:r w:rsidR="00474A4F">
        <w:rPr>
          <w:rFonts w:ascii="Trebuchet MS" w:hAnsi="Trebuchet MS" w:cs="Arial"/>
          <w:sz w:val="24"/>
          <w:szCs w:val="24"/>
        </w:rPr>
        <w:t>it</w:t>
      </w:r>
      <w:r w:rsidR="00204533">
        <w:rPr>
          <w:rFonts w:ascii="Trebuchet MS" w:hAnsi="Trebuchet MS" w:cs="Arial"/>
          <w:sz w:val="24"/>
          <w:szCs w:val="24"/>
        </w:rPr>
        <w:t xml:space="preserve"> stand</w:t>
      </w:r>
      <w:r w:rsidR="00474A4F">
        <w:rPr>
          <w:rFonts w:ascii="Trebuchet MS" w:hAnsi="Trebuchet MS" w:cs="Arial"/>
          <w:sz w:val="24"/>
          <w:szCs w:val="24"/>
        </w:rPr>
        <w:t>s</w:t>
      </w:r>
      <w:r w:rsidR="00204533">
        <w:rPr>
          <w:rFonts w:ascii="Trebuchet MS" w:hAnsi="Trebuchet MS" w:cs="Arial"/>
          <w:sz w:val="24"/>
          <w:szCs w:val="24"/>
        </w:rPr>
        <w:t xml:space="preserve"> we are waiting an updated NPPF which may change the required approach</w:t>
      </w:r>
      <w:r w:rsidR="00474A4F">
        <w:rPr>
          <w:rFonts w:ascii="Trebuchet MS" w:hAnsi="Trebuchet MS" w:cs="Arial"/>
          <w:sz w:val="24"/>
          <w:szCs w:val="24"/>
        </w:rPr>
        <w:t xml:space="preserve"> giving more freedom to local authorities</w:t>
      </w:r>
      <w:r w:rsidR="00204533">
        <w:rPr>
          <w:rFonts w:ascii="Trebuchet MS" w:hAnsi="Trebuchet MS" w:cs="Arial"/>
          <w:sz w:val="24"/>
          <w:szCs w:val="24"/>
        </w:rPr>
        <w:t xml:space="preserve">. </w:t>
      </w:r>
      <w:r w:rsidR="00474A4F">
        <w:rPr>
          <w:rFonts w:ascii="Trebuchet MS" w:hAnsi="Trebuchet MS" w:cs="Arial"/>
          <w:sz w:val="24"/>
          <w:szCs w:val="24"/>
        </w:rPr>
        <w:t xml:space="preserve">We </w:t>
      </w:r>
      <w:r w:rsidR="00204533">
        <w:rPr>
          <w:rFonts w:ascii="Trebuchet MS" w:hAnsi="Trebuchet MS" w:cs="Arial"/>
          <w:sz w:val="24"/>
          <w:szCs w:val="24"/>
        </w:rPr>
        <w:t>also understand that the Government may review the approach when the next ONS figures are released in 2024 which will need to reflect the CENSUS results.</w:t>
      </w:r>
    </w:p>
    <w:p w14:paraId="56F0EE13" w14:textId="77777777" w:rsidR="00474A4F" w:rsidRDefault="00474A4F" w:rsidP="00576FA1">
      <w:pPr>
        <w:ind w:right="333"/>
        <w:rPr>
          <w:rFonts w:ascii="Trebuchet MS" w:hAnsi="Trebuchet MS" w:cs="Arial"/>
          <w:sz w:val="24"/>
          <w:szCs w:val="24"/>
        </w:rPr>
      </w:pPr>
    </w:p>
    <w:p w14:paraId="78E7B5AB" w14:textId="596AF7C2" w:rsidR="00474A4F" w:rsidRDefault="00482EA5" w:rsidP="00576FA1">
      <w:pPr>
        <w:ind w:right="333"/>
        <w:rPr>
          <w:rFonts w:ascii="Trebuchet MS" w:hAnsi="Trebuchet MS" w:cs="Arial"/>
          <w:sz w:val="24"/>
          <w:szCs w:val="24"/>
        </w:rPr>
      </w:pPr>
      <w:r>
        <w:rPr>
          <w:rFonts w:ascii="Trebuchet MS" w:hAnsi="Trebuchet MS" w:cs="Arial"/>
          <w:sz w:val="24"/>
          <w:szCs w:val="24"/>
        </w:rPr>
        <w:t xml:space="preserve">2.16 </w:t>
      </w:r>
      <w:r w:rsidR="00474A4F">
        <w:rPr>
          <w:rFonts w:ascii="Trebuchet MS" w:hAnsi="Trebuchet MS" w:cs="Arial"/>
          <w:sz w:val="24"/>
          <w:szCs w:val="24"/>
        </w:rPr>
        <w:t xml:space="preserve">Given the state of the evidence, it would seem that the need for Sandwell is currently overstated </w:t>
      </w:r>
      <w:r w:rsidR="00EC6016">
        <w:rPr>
          <w:rFonts w:ascii="Trebuchet MS" w:hAnsi="Trebuchet MS" w:cs="Arial"/>
          <w:sz w:val="24"/>
          <w:szCs w:val="24"/>
        </w:rPr>
        <w:t xml:space="preserve">(as it is </w:t>
      </w:r>
      <w:r w:rsidR="00EC6016" w:rsidRPr="002F26D0">
        <w:rPr>
          <w:rFonts w:ascii="Trebuchet MS" w:hAnsi="Trebuchet MS" w:cs="Arial"/>
          <w:sz w:val="24"/>
          <w:szCs w:val="24"/>
        </w:rPr>
        <w:t xml:space="preserve">across </w:t>
      </w:r>
      <w:r w:rsidR="00EC6016" w:rsidRPr="002F26D0">
        <w:rPr>
          <w:rFonts w:ascii="Trebuchet MS" w:hAnsi="Trebuchet MS"/>
          <w:sz w:val="24"/>
          <w:szCs w:val="24"/>
        </w:rPr>
        <w:t xml:space="preserve">the Black Country) </w:t>
      </w:r>
      <w:r w:rsidR="00474A4F" w:rsidRPr="002F26D0">
        <w:rPr>
          <w:rFonts w:ascii="Trebuchet MS" w:hAnsi="Trebuchet MS" w:cs="Arial"/>
          <w:sz w:val="24"/>
          <w:szCs w:val="24"/>
        </w:rPr>
        <w:t>and there</w:t>
      </w:r>
      <w:r w:rsidR="00474A4F">
        <w:rPr>
          <w:rFonts w:ascii="Trebuchet MS" w:hAnsi="Trebuchet MS" w:cs="Arial"/>
          <w:sz w:val="24"/>
          <w:szCs w:val="24"/>
        </w:rPr>
        <w:t xml:space="preserve"> is strong justification for reducing that </w:t>
      </w:r>
      <w:r w:rsidR="00EC6016">
        <w:rPr>
          <w:rFonts w:ascii="Trebuchet MS" w:hAnsi="Trebuchet MS" w:cs="Arial"/>
          <w:sz w:val="24"/>
          <w:szCs w:val="24"/>
        </w:rPr>
        <w:t xml:space="preserve">need </w:t>
      </w:r>
      <w:r w:rsidR="00474A4F">
        <w:rPr>
          <w:rFonts w:ascii="Trebuchet MS" w:hAnsi="Trebuchet MS" w:cs="Arial"/>
          <w:sz w:val="24"/>
          <w:szCs w:val="24"/>
        </w:rPr>
        <w:t xml:space="preserve">and, </w:t>
      </w:r>
      <w:r w:rsidR="002F26D0">
        <w:rPr>
          <w:rFonts w:ascii="Trebuchet MS" w:hAnsi="Trebuchet MS" w:cs="Arial"/>
          <w:sz w:val="24"/>
          <w:szCs w:val="24"/>
        </w:rPr>
        <w:t>consequently</w:t>
      </w:r>
      <w:r w:rsidR="00474A4F">
        <w:rPr>
          <w:rFonts w:ascii="Trebuchet MS" w:hAnsi="Trebuchet MS" w:cs="Arial"/>
          <w:sz w:val="24"/>
          <w:szCs w:val="24"/>
        </w:rPr>
        <w:t xml:space="preserve">, the </w:t>
      </w:r>
      <w:r w:rsidR="000E0013">
        <w:rPr>
          <w:rFonts w:ascii="Trebuchet MS" w:hAnsi="Trebuchet MS" w:cs="Arial"/>
          <w:sz w:val="24"/>
          <w:szCs w:val="24"/>
        </w:rPr>
        <w:t>extent of the shortfall identified in the plan.</w:t>
      </w:r>
    </w:p>
    <w:p w14:paraId="2024D96B" w14:textId="77777777" w:rsidR="00EC6016" w:rsidRDefault="00EC6016" w:rsidP="00576FA1">
      <w:pPr>
        <w:ind w:right="333"/>
        <w:rPr>
          <w:rFonts w:ascii="Trebuchet MS" w:hAnsi="Trebuchet MS" w:cs="Arial"/>
          <w:sz w:val="24"/>
          <w:szCs w:val="24"/>
        </w:rPr>
      </w:pPr>
    </w:p>
    <w:p w14:paraId="122104CE" w14:textId="4BAC2E81" w:rsidR="00EC6016" w:rsidRDefault="00482EA5" w:rsidP="00EC6016">
      <w:pPr>
        <w:pStyle w:val="Default"/>
        <w:rPr>
          <w:rFonts w:ascii="Trebuchet MS" w:hAnsi="Trebuchet MS"/>
        </w:rPr>
      </w:pPr>
      <w:r>
        <w:rPr>
          <w:rFonts w:ascii="Trebuchet MS" w:hAnsi="Trebuchet MS"/>
        </w:rPr>
        <w:t xml:space="preserve">2.17 </w:t>
      </w:r>
      <w:r w:rsidR="00EC6016">
        <w:rPr>
          <w:rFonts w:ascii="Trebuchet MS" w:hAnsi="Trebuchet MS"/>
        </w:rPr>
        <w:t>This would result in more sustainable land-use patterns and help protect the Green Belt.</w:t>
      </w:r>
    </w:p>
    <w:p w14:paraId="71989DBB" w14:textId="77777777" w:rsidR="00F71417" w:rsidRDefault="00F71417" w:rsidP="00EC6016">
      <w:pPr>
        <w:pStyle w:val="Default"/>
        <w:rPr>
          <w:rFonts w:ascii="Trebuchet MS" w:hAnsi="Trebuchet MS"/>
        </w:rPr>
      </w:pPr>
    </w:p>
    <w:p w14:paraId="0FA502F3" w14:textId="5AC844A1" w:rsidR="00F71417" w:rsidRDefault="00482EA5" w:rsidP="00EC6016">
      <w:pPr>
        <w:pStyle w:val="Default"/>
        <w:rPr>
          <w:rFonts w:ascii="Trebuchet MS" w:hAnsi="Trebuchet MS"/>
        </w:rPr>
      </w:pPr>
      <w:r>
        <w:rPr>
          <w:rFonts w:ascii="Trebuchet MS" w:hAnsi="Trebuchet MS"/>
        </w:rPr>
        <w:t xml:space="preserve">2.18 </w:t>
      </w:r>
      <w:r w:rsidR="00F71417">
        <w:rPr>
          <w:rFonts w:ascii="Trebuchet MS" w:hAnsi="Trebuchet MS"/>
        </w:rPr>
        <w:t>To approximate what impact this might have I corrected the annual need based on the difference between the ONS 2014 and Census housing figure, compared to the difference with the ONS2016 housing figure for 2021, which amounted to 0.73. Applying that to the difference between the ONS20014 and ONS2016 calculations led to an annual figure of 1</w:t>
      </w:r>
      <w:r w:rsidR="00FB77D7">
        <w:rPr>
          <w:rFonts w:ascii="Trebuchet MS" w:hAnsi="Trebuchet MS"/>
        </w:rPr>
        <w:t>,</w:t>
      </w:r>
      <w:r w:rsidR="00F71417">
        <w:rPr>
          <w:rFonts w:ascii="Trebuchet MS" w:hAnsi="Trebuchet MS"/>
        </w:rPr>
        <w:t xml:space="preserve">280 dwellings, or </w:t>
      </w:r>
      <w:r w:rsidR="0029776E">
        <w:rPr>
          <w:rFonts w:ascii="Trebuchet MS" w:hAnsi="Trebuchet MS"/>
        </w:rPr>
        <w:t>24,320 over the plan period. This is only for illustrative purposes and would also not account for the affordability variability year on year.</w:t>
      </w:r>
      <w:r w:rsidR="00D31EA9">
        <w:rPr>
          <w:rFonts w:ascii="Trebuchet MS" w:hAnsi="Trebuchet MS"/>
        </w:rPr>
        <w:t xml:space="preserve"> </w:t>
      </w:r>
    </w:p>
    <w:p w14:paraId="2D61EF04" w14:textId="77777777" w:rsidR="00D31EA9" w:rsidRDefault="00D31EA9" w:rsidP="00EC6016">
      <w:pPr>
        <w:pStyle w:val="Default"/>
        <w:rPr>
          <w:rFonts w:ascii="Trebuchet MS" w:hAnsi="Trebuchet MS"/>
        </w:rPr>
      </w:pPr>
    </w:p>
    <w:p w14:paraId="2E4A9E15" w14:textId="4FFDBA51" w:rsidR="00D31EA9" w:rsidRDefault="00482EA5" w:rsidP="00EC6016">
      <w:pPr>
        <w:pStyle w:val="Default"/>
        <w:rPr>
          <w:rFonts w:ascii="Trebuchet MS" w:hAnsi="Trebuchet MS"/>
        </w:rPr>
      </w:pPr>
      <w:r>
        <w:rPr>
          <w:rFonts w:ascii="Trebuchet MS" w:hAnsi="Trebuchet MS"/>
        </w:rPr>
        <w:t xml:space="preserve">2.19 </w:t>
      </w:r>
      <w:r w:rsidR="00D31EA9">
        <w:rPr>
          <w:rFonts w:ascii="Trebuchet MS" w:hAnsi="Trebuchet MS"/>
        </w:rPr>
        <w:t>The Spatial Strategy Paper (November 2023) suggests CENSUS based figure of 1</w:t>
      </w:r>
      <w:r w:rsidR="00FB77D7">
        <w:rPr>
          <w:rFonts w:ascii="Trebuchet MS" w:hAnsi="Trebuchet MS"/>
        </w:rPr>
        <w:t>,</w:t>
      </w:r>
      <w:r w:rsidR="00D31EA9">
        <w:rPr>
          <w:rFonts w:ascii="Trebuchet MS" w:hAnsi="Trebuchet MS"/>
        </w:rPr>
        <w:t>238, (23,522 over the plan period.) I am not sure how they arrived at this</w:t>
      </w:r>
      <w:r>
        <w:rPr>
          <w:rFonts w:ascii="Trebuchet MS" w:hAnsi="Trebuchet MS"/>
        </w:rPr>
        <w:t xml:space="preserve"> but it seems to me to represents a reasonable approximation</w:t>
      </w:r>
      <w:r w:rsidR="00D31EA9">
        <w:rPr>
          <w:rFonts w:ascii="Trebuchet MS" w:hAnsi="Trebuchet MS"/>
        </w:rPr>
        <w:t>.</w:t>
      </w:r>
      <w:r>
        <w:rPr>
          <w:rFonts w:ascii="Trebuchet MS" w:hAnsi="Trebuchet MS"/>
        </w:rPr>
        <w:t xml:space="preserve"> </w:t>
      </w:r>
    </w:p>
    <w:p w14:paraId="119B693D" w14:textId="77777777" w:rsidR="00EC6016" w:rsidRDefault="00EC6016" w:rsidP="00576FA1">
      <w:pPr>
        <w:ind w:right="333"/>
        <w:rPr>
          <w:rFonts w:ascii="Trebuchet MS" w:hAnsi="Trebuchet MS" w:cs="Arial"/>
          <w:sz w:val="24"/>
          <w:szCs w:val="24"/>
        </w:rPr>
      </w:pPr>
    </w:p>
    <w:p w14:paraId="6BCD2CB5" w14:textId="77777777" w:rsidR="00482EA5" w:rsidRDefault="00482EA5" w:rsidP="00576FA1">
      <w:pPr>
        <w:ind w:right="333"/>
        <w:rPr>
          <w:rFonts w:ascii="Trebuchet MS" w:hAnsi="Trebuchet MS" w:cs="Arial"/>
          <w:sz w:val="24"/>
          <w:szCs w:val="24"/>
        </w:rPr>
      </w:pPr>
    </w:p>
    <w:p w14:paraId="5A075065" w14:textId="77777777" w:rsidR="00482EA5" w:rsidRDefault="00482EA5" w:rsidP="00576FA1">
      <w:pPr>
        <w:ind w:right="333"/>
        <w:rPr>
          <w:rFonts w:ascii="Trebuchet MS" w:hAnsi="Trebuchet MS" w:cs="Arial"/>
          <w:sz w:val="24"/>
          <w:szCs w:val="24"/>
        </w:rPr>
      </w:pPr>
    </w:p>
    <w:p w14:paraId="62C66076" w14:textId="77777777" w:rsidR="00482EA5" w:rsidRDefault="00482EA5" w:rsidP="00576FA1">
      <w:pPr>
        <w:ind w:right="333"/>
        <w:rPr>
          <w:rFonts w:ascii="Trebuchet MS" w:hAnsi="Trebuchet MS" w:cs="Arial"/>
          <w:sz w:val="24"/>
          <w:szCs w:val="24"/>
        </w:rPr>
      </w:pPr>
    </w:p>
    <w:p w14:paraId="24F3212C" w14:textId="77777777" w:rsidR="00482EA5" w:rsidRDefault="00482EA5" w:rsidP="00576FA1">
      <w:pPr>
        <w:ind w:right="333"/>
        <w:rPr>
          <w:rFonts w:ascii="Trebuchet MS" w:hAnsi="Trebuchet MS" w:cs="Arial"/>
          <w:sz w:val="24"/>
          <w:szCs w:val="24"/>
        </w:rPr>
      </w:pPr>
    </w:p>
    <w:p w14:paraId="7105D735" w14:textId="77777777" w:rsidR="00482EA5" w:rsidRDefault="00482EA5" w:rsidP="00576FA1">
      <w:pPr>
        <w:ind w:right="333"/>
        <w:rPr>
          <w:rFonts w:ascii="Trebuchet MS" w:hAnsi="Trebuchet MS" w:cs="Arial"/>
          <w:sz w:val="24"/>
          <w:szCs w:val="24"/>
        </w:rPr>
      </w:pPr>
    </w:p>
    <w:p w14:paraId="017AD128" w14:textId="77777777" w:rsidR="00482EA5" w:rsidRDefault="00482EA5" w:rsidP="00576FA1">
      <w:pPr>
        <w:ind w:right="333"/>
        <w:rPr>
          <w:rFonts w:ascii="Trebuchet MS" w:hAnsi="Trebuchet MS" w:cs="Arial"/>
          <w:sz w:val="24"/>
          <w:szCs w:val="24"/>
        </w:rPr>
      </w:pPr>
    </w:p>
    <w:p w14:paraId="79332199" w14:textId="77777777" w:rsidR="00482EA5" w:rsidRDefault="00482EA5" w:rsidP="00576FA1">
      <w:pPr>
        <w:ind w:right="333"/>
        <w:rPr>
          <w:rFonts w:ascii="Trebuchet MS" w:hAnsi="Trebuchet MS" w:cs="Arial"/>
          <w:sz w:val="24"/>
          <w:szCs w:val="24"/>
        </w:rPr>
      </w:pPr>
    </w:p>
    <w:p w14:paraId="66AF79D8" w14:textId="77777777" w:rsidR="00E260AA" w:rsidRDefault="00E260AA" w:rsidP="00E260AA">
      <w:pPr>
        <w:pStyle w:val="Default"/>
        <w:rPr>
          <w:rFonts w:ascii="Trebuchet MS" w:hAnsi="Trebuchet MS"/>
          <w:b/>
          <w:bCs/>
        </w:rPr>
      </w:pPr>
    </w:p>
    <w:p w14:paraId="483DD9CD" w14:textId="77777777" w:rsidR="00FB77D7" w:rsidRDefault="00FB77D7" w:rsidP="00E260AA">
      <w:pPr>
        <w:pStyle w:val="Default"/>
        <w:rPr>
          <w:rFonts w:ascii="Trebuchet MS" w:hAnsi="Trebuchet MS"/>
          <w:b/>
          <w:bCs/>
        </w:rPr>
      </w:pPr>
    </w:p>
    <w:p w14:paraId="74E23A1E" w14:textId="77777777" w:rsidR="00F42E92" w:rsidRDefault="00F42E92" w:rsidP="00E0200B">
      <w:pPr>
        <w:pStyle w:val="Default"/>
        <w:numPr>
          <w:ilvl w:val="0"/>
          <w:numId w:val="19"/>
        </w:numPr>
        <w:rPr>
          <w:rFonts w:ascii="Trebuchet MS" w:hAnsi="Trebuchet MS"/>
          <w:b/>
          <w:bCs/>
        </w:rPr>
      </w:pPr>
      <w:r w:rsidRPr="00FD6FA4">
        <w:rPr>
          <w:rFonts w:ascii="Trebuchet MS" w:hAnsi="Trebuchet MS"/>
          <w:b/>
          <w:bCs/>
        </w:rPr>
        <w:t>Housing Supply</w:t>
      </w:r>
    </w:p>
    <w:p w14:paraId="683404DE" w14:textId="77777777" w:rsidR="00E77A10" w:rsidRPr="00FD6FA4" w:rsidRDefault="00E77A10" w:rsidP="00E77A10">
      <w:pPr>
        <w:pStyle w:val="Default"/>
        <w:ind w:left="720"/>
        <w:rPr>
          <w:rFonts w:ascii="Trebuchet MS" w:hAnsi="Trebuchet MS"/>
          <w:b/>
          <w:bCs/>
        </w:rPr>
      </w:pPr>
    </w:p>
    <w:p w14:paraId="25DC8B42" w14:textId="77777777" w:rsidR="00BD5E95" w:rsidRPr="00BD5E95" w:rsidRDefault="00BD5E95" w:rsidP="00226AA7">
      <w:pPr>
        <w:jc w:val="both"/>
        <w:rPr>
          <w:rFonts w:ascii="Trebuchet MS" w:hAnsi="Trebuchet MS" w:cs="Verdana"/>
          <w:bCs/>
          <w:sz w:val="24"/>
          <w:szCs w:val="24"/>
        </w:rPr>
      </w:pPr>
    </w:p>
    <w:p w14:paraId="121748B1" w14:textId="07D96751" w:rsidR="002952E0" w:rsidRDefault="00482EA5" w:rsidP="00226AA7">
      <w:pPr>
        <w:jc w:val="both"/>
        <w:rPr>
          <w:rFonts w:ascii="Trebuchet MS" w:hAnsi="Trebuchet MS" w:cs="Verdana"/>
          <w:bCs/>
          <w:sz w:val="24"/>
          <w:szCs w:val="24"/>
        </w:rPr>
      </w:pPr>
      <w:r>
        <w:rPr>
          <w:rFonts w:ascii="Trebuchet MS" w:hAnsi="Trebuchet MS" w:cs="Verdana"/>
          <w:bCs/>
          <w:sz w:val="24"/>
          <w:szCs w:val="24"/>
        </w:rPr>
        <w:t xml:space="preserve">3.1 </w:t>
      </w:r>
      <w:r w:rsidR="00BD5E95" w:rsidRPr="00BD5E95">
        <w:rPr>
          <w:rFonts w:ascii="Trebuchet MS" w:hAnsi="Trebuchet MS" w:cs="Verdana"/>
          <w:bCs/>
          <w:sz w:val="24"/>
          <w:szCs w:val="24"/>
        </w:rPr>
        <w:t xml:space="preserve">In terms of </w:t>
      </w:r>
      <w:r w:rsidR="0097412D">
        <w:rPr>
          <w:rFonts w:ascii="Trebuchet MS" w:hAnsi="Trebuchet MS" w:cs="Verdana"/>
          <w:bCs/>
          <w:sz w:val="24"/>
          <w:szCs w:val="24"/>
        </w:rPr>
        <w:t xml:space="preserve">housing </w:t>
      </w:r>
      <w:r w:rsidR="00BD5E95" w:rsidRPr="00BD5E95">
        <w:rPr>
          <w:rFonts w:ascii="Trebuchet MS" w:hAnsi="Trebuchet MS" w:cs="Verdana"/>
          <w:bCs/>
          <w:sz w:val="24"/>
          <w:szCs w:val="24"/>
        </w:rPr>
        <w:t xml:space="preserve">supply </w:t>
      </w:r>
      <w:r w:rsidR="0097412D">
        <w:rPr>
          <w:rFonts w:ascii="Trebuchet MS" w:hAnsi="Trebuchet MS" w:cs="Verdana"/>
          <w:bCs/>
          <w:sz w:val="24"/>
          <w:szCs w:val="24"/>
        </w:rPr>
        <w:t xml:space="preserve">the total housing supply in the </w:t>
      </w:r>
      <w:r w:rsidR="00E77A10">
        <w:rPr>
          <w:rFonts w:ascii="Trebuchet MS" w:hAnsi="Trebuchet MS" w:cs="Verdana"/>
          <w:bCs/>
          <w:sz w:val="24"/>
          <w:szCs w:val="24"/>
        </w:rPr>
        <w:t>Sandwell P</w:t>
      </w:r>
      <w:r w:rsidR="0097412D">
        <w:rPr>
          <w:rFonts w:ascii="Trebuchet MS" w:hAnsi="Trebuchet MS" w:cs="Verdana"/>
          <w:bCs/>
          <w:sz w:val="24"/>
          <w:szCs w:val="24"/>
        </w:rPr>
        <w:t>lan is identified in Policy SHO1. This amounts to 11,167</w:t>
      </w:r>
      <w:r w:rsidR="00935410">
        <w:rPr>
          <w:rFonts w:ascii="Trebuchet MS" w:hAnsi="Trebuchet MS" w:cs="Verdana"/>
          <w:bCs/>
          <w:sz w:val="24"/>
          <w:szCs w:val="24"/>
        </w:rPr>
        <w:t xml:space="preserve"> (given also un the UCA)</w:t>
      </w:r>
      <w:r w:rsidR="0097412D">
        <w:rPr>
          <w:rFonts w:ascii="Trebuchet MS" w:hAnsi="Trebuchet MS" w:cs="Verdana"/>
          <w:bCs/>
          <w:sz w:val="24"/>
          <w:szCs w:val="24"/>
        </w:rPr>
        <w:t xml:space="preserve">, of which </w:t>
      </w:r>
      <w:r w:rsidR="00B81CBF">
        <w:rPr>
          <w:rFonts w:ascii="Trebuchet MS" w:hAnsi="Trebuchet MS" w:cs="Verdana"/>
          <w:bCs/>
          <w:sz w:val="24"/>
          <w:szCs w:val="24"/>
        </w:rPr>
        <w:t>9</w:t>
      </w:r>
      <w:r w:rsidR="0097412D">
        <w:rPr>
          <w:rFonts w:ascii="Trebuchet MS" w:hAnsi="Trebuchet MS" w:cs="Verdana"/>
          <w:bCs/>
          <w:sz w:val="24"/>
          <w:szCs w:val="24"/>
        </w:rPr>
        <w:t>,080 is committed or allocated,1</w:t>
      </w:r>
      <w:r w:rsidR="00FB77D7">
        <w:rPr>
          <w:rFonts w:ascii="Trebuchet MS" w:hAnsi="Trebuchet MS" w:cs="Verdana"/>
          <w:bCs/>
          <w:sz w:val="24"/>
          <w:szCs w:val="24"/>
        </w:rPr>
        <w:t>,</w:t>
      </w:r>
      <w:r w:rsidR="0097412D">
        <w:rPr>
          <w:rFonts w:ascii="Trebuchet MS" w:hAnsi="Trebuchet MS" w:cs="Verdana"/>
          <w:bCs/>
          <w:sz w:val="24"/>
          <w:szCs w:val="24"/>
        </w:rPr>
        <w:t>868 identified as small windfalls and a further 219 homes from additional floorspace in centres, only 16 in West Bromwich itself.</w:t>
      </w:r>
      <w:r w:rsidR="002F26D0">
        <w:rPr>
          <w:rFonts w:ascii="Trebuchet MS" w:hAnsi="Trebuchet MS" w:cs="Verdana"/>
          <w:bCs/>
          <w:sz w:val="24"/>
          <w:szCs w:val="24"/>
        </w:rPr>
        <w:t xml:space="preserve"> </w:t>
      </w:r>
      <w:r w:rsidR="00935410">
        <w:rPr>
          <w:rFonts w:ascii="Trebuchet MS" w:hAnsi="Trebuchet MS" w:cs="Verdana"/>
          <w:bCs/>
          <w:sz w:val="24"/>
          <w:szCs w:val="24"/>
        </w:rPr>
        <w:t>This is slightly higher than the 10,686 given in the most recent 2022 Housing SHLAA so I assume relies on some updated commitments.</w:t>
      </w:r>
    </w:p>
    <w:p w14:paraId="5CE93D26" w14:textId="77777777" w:rsidR="00935410" w:rsidRDefault="00935410" w:rsidP="00226AA7">
      <w:pPr>
        <w:jc w:val="both"/>
        <w:rPr>
          <w:rFonts w:ascii="Trebuchet MS" w:hAnsi="Trebuchet MS" w:cs="Verdana"/>
          <w:bCs/>
          <w:sz w:val="24"/>
          <w:szCs w:val="24"/>
        </w:rPr>
      </w:pPr>
    </w:p>
    <w:p w14:paraId="5C3A7241" w14:textId="32562DD0" w:rsidR="00935410" w:rsidRDefault="00482EA5" w:rsidP="00226AA7">
      <w:pPr>
        <w:jc w:val="both"/>
        <w:rPr>
          <w:rFonts w:ascii="Trebuchet MS" w:hAnsi="Trebuchet MS" w:cs="Verdana"/>
          <w:bCs/>
          <w:sz w:val="24"/>
          <w:szCs w:val="24"/>
        </w:rPr>
      </w:pPr>
      <w:r>
        <w:rPr>
          <w:rFonts w:ascii="Trebuchet MS" w:hAnsi="Trebuchet MS" w:cs="Verdana"/>
          <w:bCs/>
          <w:sz w:val="24"/>
          <w:szCs w:val="24"/>
        </w:rPr>
        <w:t xml:space="preserve">3.2 </w:t>
      </w:r>
      <w:r w:rsidR="00935410">
        <w:rPr>
          <w:rFonts w:ascii="Trebuchet MS" w:hAnsi="Trebuchet MS" w:cs="Verdana"/>
          <w:bCs/>
          <w:sz w:val="24"/>
          <w:szCs w:val="24"/>
        </w:rPr>
        <w:t>I now review a number of issues: densities, housing on employment land, housing in centres</w:t>
      </w:r>
      <w:r w:rsidR="007A424F">
        <w:rPr>
          <w:rFonts w:ascii="Trebuchet MS" w:hAnsi="Trebuchet MS" w:cs="Verdana"/>
          <w:bCs/>
          <w:sz w:val="24"/>
          <w:szCs w:val="24"/>
        </w:rPr>
        <w:t>,</w:t>
      </w:r>
      <w:r w:rsidR="00935410">
        <w:rPr>
          <w:rFonts w:ascii="Trebuchet MS" w:hAnsi="Trebuchet MS" w:cs="Verdana"/>
          <w:bCs/>
          <w:sz w:val="24"/>
          <w:szCs w:val="24"/>
        </w:rPr>
        <w:t xml:space="preserve"> windfalls </w:t>
      </w:r>
      <w:r w:rsidR="007A424F">
        <w:rPr>
          <w:rFonts w:ascii="Trebuchet MS" w:hAnsi="Trebuchet MS" w:cs="Verdana"/>
          <w:bCs/>
          <w:sz w:val="24"/>
          <w:szCs w:val="24"/>
        </w:rPr>
        <w:t xml:space="preserve">and discounts </w:t>
      </w:r>
      <w:r w:rsidR="00935410">
        <w:rPr>
          <w:rFonts w:ascii="Trebuchet MS" w:hAnsi="Trebuchet MS" w:cs="Verdana"/>
          <w:bCs/>
          <w:sz w:val="24"/>
          <w:szCs w:val="24"/>
        </w:rPr>
        <w:t xml:space="preserve">to consider whether these </w:t>
      </w:r>
      <w:r w:rsidR="007A424F">
        <w:rPr>
          <w:rFonts w:ascii="Trebuchet MS" w:hAnsi="Trebuchet MS" w:cs="Verdana"/>
          <w:bCs/>
          <w:sz w:val="24"/>
          <w:szCs w:val="24"/>
        </w:rPr>
        <w:t xml:space="preserve">elements </w:t>
      </w:r>
      <w:r w:rsidR="00935410">
        <w:rPr>
          <w:rFonts w:ascii="Trebuchet MS" w:hAnsi="Trebuchet MS" w:cs="Verdana"/>
          <w:bCs/>
          <w:sz w:val="24"/>
          <w:szCs w:val="24"/>
        </w:rPr>
        <w:t xml:space="preserve">might increase supply. </w:t>
      </w:r>
    </w:p>
    <w:p w14:paraId="182CC48C" w14:textId="77777777" w:rsidR="0097412D" w:rsidRDefault="0097412D" w:rsidP="00226AA7">
      <w:pPr>
        <w:jc w:val="both"/>
        <w:rPr>
          <w:rFonts w:ascii="Trebuchet MS" w:hAnsi="Trebuchet MS" w:cs="Verdana"/>
          <w:bCs/>
          <w:sz w:val="24"/>
          <w:szCs w:val="24"/>
        </w:rPr>
      </w:pPr>
    </w:p>
    <w:p w14:paraId="77DB94C9" w14:textId="57241A28" w:rsidR="004549F7" w:rsidRPr="004549F7" w:rsidRDefault="00482EA5" w:rsidP="00482EA5">
      <w:pPr>
        <w:ind w:firstLine="1"/>
        <w:jc w:val="both"/>
        <w:rPr>
          <w:rFonts w:ascii="Trebuchet MS" w:hAnsi="Trebuchet MS" w:cs="Verdana"/>
          <w:bCs/>
          <w:i/>
          <w:iCs/>
          <w:sz w:val="24"/>
          <w:szCs w:val="24"/>
        </w:rPr>
      </w:pPr>
      <w:r>
        <w:rPr>
          <w:rFonts w:ascii="Trebuchet MS" w:hAnsi="Trebuchet MS" w:cs="Verdana"/>
          <w:bCs/>
          <w:i/>
          <w:iCs/>
          <w:sz w:val="24"/>
          <w:szCs w:val="24"/>
        </w:rPr>
        <w:t xml:space="preserve">3.1 </w:t>
      </w:r>
      <w:r w:rsidR="004549F7">
        <w:rPr>
          <w:rFonts w:ascii="Trebuchet MS" w:hAnsi="Trebuchet MS" w:cs="Verdana"/>
          <w:bCs/>
          <w:i/>
          <w:iCs/>
          <w:sz w:val="24"/>
          <w:szCs w:val="24"/>
        </w:rPr>
        <w:t>Density</w:t>
      </w:r>
    </w:p>
    <w:p w14:paraId="0460CF52" w14:textId="77777777" w:rsidR="004549F7" w:rsidRDefault="004549F7" w:rsidP="00226AA7">
      <w:pPr>
        <w:jc w:val="both"/>
        <w:rPr>
          <w:rFonts w:ascii="Trebuchet MS" w:hAnsi="Trebuchet MS" w:cs="Verdana"/>
          <w:bCs/>
          <w:sz w:val="24"/>
          <w:szCs w:val="24"/>
        </w:rPr>
      </w:pPr>
    </w:p>
    <w:p w14:paraId="59DD3CEC" w14:textId="0B5BE65E" w:rsidR="004549F7" w:rsidRDefault="00482EA5" w:rsidP="00226AA7">
      <w:pPr>
        <w:jc w:val="both"/>
        <w:rPr>
          <w:rFonts w:ascii="Trebuchet MS" w:hAnsi="Trebuchet MS" w:cs="Verdana"/>
          <w:bCs/>
          <w:sz w:val="24"/>
          <w:szCs w:val="24"/>
        </w:rPr>
      </w:pPr>
      <w:r>
        <w:rPr>
          <w:rFonts w:ascii="Trebuchet MS" w:hAnsi="Trebuchet MS" w:cs="Verdana"/>
          <w:bCs/>
          <w:sz w:val="24"/>
          <w:szCs w:val="24"/>
        </w:rPr>
        <w:t xml:space="preserve">3.1.1 </w:t>
      </w:r>
      <w:r w:rsidR="00B81CBF">
        <w:rPr>
          <w:rFonts w:ascii="Trebuchet MS" w:hAnsi="Trebuchet MS" w:cs="Verdana"/>
          <w:bCs/>
          <w:sz w:val="24"/>
          <w:szCs w:val="24"/>
        </w:rPr>
        <w:t xml:space="preserve">The committed and allocated supply is based on the 2023 SHLAA assessment. </w:t>
      </w:r>
    </w:p>
    <w:p w14:paraId="4F68C6B0" w14:textId="77777777" w:rsidR="004549F7" w:rsidRDefault="004549F7" w:rsidP="00226AA7">
      <w:pPr>
        <w:jc w:val="both"/>
        <w:rPr>
          <w:rFonts w:ascii="Trebuchet MS" w:hAnsi="Trebuchet MS" w:cs="Verdana"/>
          <w:bCs/>
          <w:sz w:val="24"/>
          <w:szCs w:val="24"/>
        </w:rPr>
      </w:pPr>
    </w:p>
    <w:p w14:paraId="395476CE" w14:textId="3A5D39BC" w:rsidR="0097412D" w:rsidRDefault="00482EA5" w:rsidP="00226AA7">
      <w:pPr>
        <w:jc w:val="both"/>
        <w:rPr>
          <w:rFonts w:ascii="Trebuchet MS" w:hAnsi="Trebuchet MS" w:cs="Verdana"/>
          <w:bCs/>
          <w:sz w:val="24"/>
          <w:szCs w:val="24"/>
        </w:rPr>
      </w:pPr>
      <w:r>
        <w:rPr>
          <w:rFonts w:ascii="Trebuchet MS" w:hAnsi="Trebuchet MS" w:cs="Verdana"/>
          <w:bCs/>
          <w:sz w:val="24"/>
          <w:szCs w:val="24"/>
        </w:rPr>
        <w:t xml:space="preserve">3.1.2 </w:t>
      </w:r>
      <w:r w:rsidR="00B81CBF">
        <w:rPr>
          <w:rFonts w:ascii="Trebuchet MS" w:hAnsi="Trebuchet MS" w:cs="Verdana"/>
          <w:bCs/>
          <w:sz w:val="24"/>
          <w:szCs w:val="24"/>
        </w:rPr>
        <w:t>Th</w:t>
      </w:r>
      <w:r w:rsidR="002F26D0">
        <w:rPr>
          <w:rFonts w:ascii="Trebuchet MS" w:hAnsi="Trebuchet MS" w:cs="Verdana"/>
          <w:bCs/>
          <w:sz w:val="24"/>
          <w:szCs w:val="24"/>
        </w:rPr>
        <w:t xml:space="preserve">e Black Country </w:t>
      </w:r>
      <w:r w:rsidR="00B81CBF">
        <w:rPr>
          <w:rFonts w:ascii="Trebuchet MS" w:hAnsi="Trebuchet MS" w:cs="Verdana"/>
          <w:bCs/>
          <w:sz w:val="24"/>
          <w:szCs w:val="24"/>
        </w:rPr>
        <w:t>use</w:t>
      </w:r>
      <w:r w:rsidR="002F26D0">
        <w:rPr>
          <w:rFonts w:ascii="Trebuchet MS" w:hAnsi="Trebuchet MS" w:cs="Verdana"/>
          <w:bCs/>
          <w:sz w:val="24"/>
          <w:szCs w:val="24"/>
        </w:rPr>
        <w:t>d</w:t>
      </w:r>
      <w:r w:rsidR="00B81CBF">
        <w:rPr>
          <w:rFonts w:ascii="Trebuchet MS" w:hAnsi="Trebuchet MS" w:cs="Verdana"/>
          <w:bCs/>
          <w:sz w:val="24"/>
          <w:szCs w:val="24"/>
        </w:rPr>
        <w:t xml:space="preserve"> a density assumption of 35 dwellings per hectare, where there </w:t>
      </w:r>
      <w:r w:rsidR="00935410">
        <w:rPr>
          <w:rFonts w:ascii="Trebuchet MS" w:hAnsi="Trebuchet MS" w:cs="Verdana"/>
          <w:bCs/>
          <w:sz w:val="24"/>
          <w:szCs w:val="24"/>
        </w:rPr>
        <w:t>wa</w:t>
      </w:r>
      <w:r w:rsidR="00B81CBF">
        <w:rPr>
          <w:rFonts w:ascii="Trebuchet MS" w:hAnsi="Trebuchet MS" w:cs="Verdana"/>
          <w:bCs/>
          <w:sz w:val="24"/>
          <w:szCs w:val="24"/>
        </w:rPr>
        <w:t xml:space="preserve">s no development brief (Para 8.3). However, Policy SHO3 sets out higher minimum densities </w:t>
      </w:r>
      <w:r w:rsidR="00935410">
        <w:rPr>
          <w:rFonts w:ascii="Trebuchet MS" w:hAnsi="Trebuchet MS" w:cs="Verdana"/>
          <w:bCs/>
          <w:sz w:val="24"/>
          <w:szCs w:val="24"/>
        </w:rPr>
        <w:t>for Sandwell</w:t>
      </w:r>
      <w:r w:rsidR="00FB77D7">
        <w:rPr>
          <w:rFonts w:ascii="Trebuchet MS" w:hAnsi="Trebuchet MS" w:cs="Verdana"/>
          <w:bCs/>
          <w:sz w:val="24"/>
          <w:szCs w:val="24"/>
        </w:rPr>
        <w:t>:</w:t>
      </w:r>
      <w:r w:rsidR="00935410">
        <w:rPr>
          <w:rFonts w:ascii="Trebuchet MS" w:hAnsi="Trebuchet MS" w:cs="Verdana"/>
          <w:bCs/>
          <w:sz w:val="24"/>
          <w:szCs w:val="24"/>
        </w:rPr>
        <w:t xml:space="preserve"> </w:t>
      </w:r>
    </w:p>
    <w:p w14:paraId="2AFA5BC2" w14:textId="77777777" w:rsidR="00B81CBF" w:rsidRDefault="00B81CBF" w:rsidP="00226AA7">
      <w:pPr>
        <w:jc w:val="both"/>
        <w:rPr>
          <w:rFonts w:ascii="Trebuchet MS" w:hAnsi="Trebuchet MS" w:cs="Verdana"/>
          <w:bCs/>
          <w:sz w:val="24"/>
          <w:szCs w:val="24"/>
        </w:rPr>
      </w:pPr>
    </w:p>
    <w:p w14:paraId="45DEC11B" w14:textId="7BD4662F" w:rsidR="00B81CBF" w:rsidRPr="001B59BD" w:rsidRDefault="00B81CBF" w:rsidP="00B81CBF">
      <w:pPr>
        <w:overflowPunct/>
        <w:textAlignment w:val="auto"/>
        <w:rPr>
          <w:rFonts w:ascii="Trebuchet MS" w:hAnsi="Trebuchet MS" w:cs="Arial-BoldMT"/>
          <w:i/>
          <w:iCs/>
          <w:sz w:val="24"/>
          <w:szCs w:val="24"/>
          <w:lang w:val="en-GB"/>
        </w:rPr>
      </w:pPr>
      <w:r w:rsidRPr="001B59BD">
        <w:rPr>
          <w:rFonts w:ascii="Trebuchet MS" w:hAnsi="Trebuchet MS" w:cs="Arial-BoldMT"/>
          <w:i/>
          <w:iCs/>
          <w:sz w:val="24"/>
          <w:szCs w:val="24"/>
          <w:lang w:val="en-GB"/>
        </w:rPr>
        <w:t>All developments of ten homes or more should achieve the minimum net density set out below, except where this would prejudice historic character and local distinctiveness as defined in Policy SHE2:</w:t>
      </w:r>
    </w:p>
    <w:p w14:paraId="0CFCB72A" w14:textId="77777777" w:rsidR="00B81CBF" w:rsidRPr="001B59BD" w:rsidRDefault="00B81CBF" w:rsidP="00B81CBF">
      <w:pPr>
        <w:overflowPunct/>
        <w:textAlignment w:val="auto"/>
        <w:rPr>
          <w:rFonts w:ascii="Trebuchet MS" w:hAnsi="Trebuchet MS" w:cs="Arial-BoldMT"/>
          <w:i/>
          <w:iCs/>
          <w:sz w:val="24"/>
          <w:szCs w:val="24"/>
          <w:lang w:val="en-GB"/>
        </w:rPr>
      </w:pPr>
    </w:p>
    <w:p w14:paraId="445E2CCF" w14:textId="0AC329DE" w:rsidR="00B81CBF" w:rsidRPr="001B59BD" w:rsidRDefault="00B81CBF" w:rsidP="00FB77D7">
      <w:pPr>
        <w:overflowPunct/>
        <w:ind w:left="567" w:right="567"/>
        <w:textAlignment w:val="auto"/>
        <w:rPr>
          <w:rFonts w:ascii="Trebuchet MS" w:hAnsi="Trebuchet MS" w:cs="Arial-BoldMT"/>
          <w:i/>
          <w:iCs/>
          <w:sz w:val="24"/>
          <w:szCs w:val="24"/>
          <w:lang w:val="en-GB"/>
        </w:rPr>
      </w:pPr>
      <w:r w:rsidRPr="001B59BD">
        <w:rPr>
          <w:rFonts w:ascii="Trebuchet MS" w:hAnsi="Trebuchet MS" w:cs="Arial-BoldMT"/>
          <w:i/>
          <w:iCs/>
          <w:sz w:val="24"/>
          <w:szCs w:val="24"/>
          <w:lang w:val="en-GB"/>
        </w:rPr>
        <w:t xml:space="preserve">a. 100 dwellings per hectare where Table 6 accessibility standards for very </w:t>
      </w:r>
      <w:r w:rsidR="00FB77D7">
        <w:rPr>
          <w:rFonts w:ascii="Trebuchet MS" w:hAnsi="Trebuchet MS" w:cs="Arial-BoldMT"/>
          <w:i/>
          <w:iCs/>
          <w:sz w:val="24"/>
          <w:szCs w:val="24"/>
          <w:lang w:val="en-GB"/>
        </w:rPr>
        <w:t>high d</w:t>
      </w:r>
      <w:r w:rsidRPr="001B59BD">
        <w:rPr>
          <w:rFonts w:ascii="Trebuchet MS" w:hAnsi="Trebuchet MS" w:cs="Arial-BoldMT"/>
          <w:i/>
          <w:iCs/>
          <w:sz w:val="24"/>
          <w:szCs w:val="24"/>
          <w:lang w:val="en-GB"/>
        </w:rPr>
        <w:t>ensity</w:t>
      </w:r>
      <w:r w:rsidR="00FB77D7">
        <w:rPr>
          <w:rFonts w:ascii="Trebuchet MS" w:hAnsi="Trebuchet MS" w:cs="Arial-BoldMT"/>
          <w:i/>
          <w:iCs/>
          <w:sz w:val="24"/>
          <w:szCs w:val="24"/>
          <w:lang w:val="en-GB"/>
        </w:rPr>
        <w:t xml:space="preserve"> </w:t>
      </w:r>
      <w:r w:rsidRPr="001B59BD">
        <w:rPr>
          <w:rFonts w:ascii="Trebuchet MS" w:hAnsi="Trebuchet MS" w:cs="Arial-BoldMT"/>
          <w:i/>
          <w:iCs/>
          <w:sz w:val="24"/>
          <w:szCs w:val="24"/>
          <w:lang w:val="en-GB"/>
        </w:rPr>
        <w:t>housing are met and the site is located within West Bromwich.</w:t>
      </w:r>
    </w:p>
    <w:p w14:paraId="061779B7" w14:textId="7163FBB1" w:rsidR="00B81CBF" w:rsidRPr="001B59BD" w:rsidRDefault="00B81CBF" w:rsidP="00FB77D7">
      <w:pPr>
        <w:overflowPunct/>
        <w:ind w:left="567" w:right="567"/>
        <w:textAlignment w:val="auto"/>
        <w:rPr>
          <w:rFonts w:ascii="Trebuchet MS" w:hAnsi="Trebuchet MS" w:cs="Arial-BoldMT"/>
          <w:i/>
          <w:iCs/>
          <w:sz w:val="24"/>
          <w:szCs w:val="24"/>
          <w:lang w:val="en-GB"/>
        </w:rPr>
      </w:pPr>
      <w:r w:rsidRPr="001B59BD">
        <w:rPr>
          <w:rFonts w:ascii="Trebuchet MS" w:hAnsi="Trebuchet MS" w:cs="Arial-BoldMT"/>
          <w:i/>
          <w:iCs/>
          <w:sz w:val="24"/>
          <w:szCs w:val="24"/>
          <w:lang w:val="en-GB"/>
        </w:rPr>
        <w:t>b. 45 dwellings per hectare where Table 6 accessibility standards for high density</w:t>
      </w:r>
      <w:r w:rsidR="00FB77D7">
        <w:rPr>
          <w:rFonts w:ascii="Trebuchet MS" w:hAnsi="Trebuchet MS" w:cs="Arial-BoldMT"/>
          <w:i/>
          <w:iCs/>
          <w:sz w:val="24"/>
          <w:szCs w:val="24"/>
          <w:lang w:val="en-GB"/>
        </w:rPr>
        <w:t xml:space="preserve"> </w:t>
      </w:r>
      <w:r w:rsidRPr="001B59BD">
        <w:rPr>
          <w:rFonts w:ascii="Trebuchet MS" w:hAnsi="Trebuchet MS" w:cs="Arial-BoldMT"/>
          <w:i/>
          <w:iCs/>
          <w:sz w:val="24"/>
          <w:szCs w:val="24"/>
          <w:lang w:val="en-GB"/>
        </w:rPr>
        <w:t>housing are met;</w:t>
      </w:r>
    </w:p>
    <w:p w14:paraId="4DA50239" w14:textId="77777777" w:rsidR="00B81CBF" w:rsidRPr="001B59BD" w:rsidRDefault="00B81CBF" w:rsidP="00FB77D7">
      <w:pPr>
        <w:overflowPunct/>
        <w:ind w:left="567" w:right="567"/>
        <w:textAlignment w:val="auto"/>
        <w:rPr>
          <w:rFonts w:ascii="Trebuchet MS" w:hAnsi="Trebuchet MS" w:cs="Arial-BoldMT"/>
          <w:i/>
          <w:iCs/>
          <w:sz w:val="24"/>
          <w:szCs w:val="24"/>
          <w:lang w:val="en-GB"/>
        </w:rPr>
      </w:pPr>
      <w:r w:rsidRPr="001B59BD">
        <w:rPr>
          <w:rFonts w:ascii="Trebuchet MS" w:hAnsi="Trebuchet MS" w:cs="Arial-BoldMT"/>
          <w:i/>
          <w:iCs/>
          <w:sz w:val="24"/>
          <w:szCs w:val="24"/>
          <w:lang w:val="en-GB"/>
        </w:rPr>
        <w:t>c. 40 dwellings per hectare where Table 6 accessibility standards for moderate</w:t>
      </w:r>
    </w:p>
    <w:p w14:paraId="276D4E85" w14:textId="4E532D02" w:rsidR="00B81CBF" w:rsidRPr="001B59BD" w:rsidRDefault="00B81CBF" w:rsidP="00FB77D7">
      <w:pPr>
        <w:ind w:left="567" w:right="567"/>
        <w:jc w:val="both"/>
        <w:rPr>
          <w:rFonts w:ascii="Trebuchet MS" w:hAnsi="Trebuchet MS" w:cs="Verdana"/>
          <w:i/>
          <w:iCs/>
          <w:sz w:val="24"/>
          <w:szCs w:val="24"/>
        </w:rPr>
      </w:pPr>
      <w:r w:rsidRPr="001B59BD">
        <w:rPr>
          <w:rFonts w:ascii="Trebuchet MS" w:hAnsi="Trebuchet MS" w:cs="Arial-BoldMT"/>
          <w:i/>
          <w:iCs/>
          <w:sz w:val="24"/>
          <w:szCs w:val="24"/>
          <w:lang w:val="en-GB"/>
        </w:rPr>
        <w:t>density housing are met.</w:t>
      </w:r>
    </w:p>
    <w:p w14:paraId="7F5D110E" w14:textId="77777777" w:rsidR="00B81CBF" w:rsidRDefault="00B81CBF" w:rsidP="00226AA7">
      <w:pPr>
        <w:jc w:val="both"/>
        <w:rPr>
          <w:rFonts w:ascii="Trebuchet MS" w:hAnsi="Trebuchet MS" w:cs="Verdana"/>
          <w:bCs/>
          <w:sz w:val="24"/>
          <w:szCs w:val="24"/>
        </w:rPr>
      </w:pPr>
    </w:p>
    <w:p w14:paraId="0FDB4E39" w14:textId="24B207CC" w:rsidR="00B81CBF" w:rsidRDefault="00482EA5" w:rsidP="00226AA7">
      <w:pPr>
        <w:jc w:val="both"/>
        <w:rPr>
          <w:rFonts w:ascii="Trebuchet MS" w:hAnsi="Trebuchet MS" w:cs="Verdana"/>
          <w:bCs/>
          <w:sz w:val="24"/>
          <w:szCs w:val="24"/>
        </w:rPr>
      </w:pPr>
      <w:r>
        <w:rPr>
          <w:rFonts w:ascii="Trebuchet MS" w:hAnsi="Trebuchet MS" w:cs="Verdana"/>
          <w:bCs/>
          <w:sz w:val="24"/>
          <w:szCs w:val="24"/>
        </w:rPr>
        <w:t xml:space="preserve">3.1.3 </w:t>
      </w:r>
      <w:r w:rsidR="00B81CBF">
        <w:rPr>
          <w:rFonts w:ascii="Trebuchet MS" w:hAnsi="Trebuchet MS" w:cs="Verdana"/>
          <w:bCs/>
          <w:sz w:val="24"/>
          <w:szCs w:val="24"/>
        </w:rPr>
        <w:t>This suggests that the yield of sites is likely to be higher</w:t>
      </w:r>
      <w:r w:rsidR="00935410">
        <w:rPr>
          <w:rFonts w:ascii="Trebuchet MS" w:hAnsi="Trebuchet MS" w:cs="Verdana"/>
          <w:bCs/>
          <w:sz w:val="24"/>
          <w:szCs w:val="24"/>
        </w:rPr>
        <w:t xml:space="preserve">. Sandwell undertook an exercise as part of the SHLAA to review sites where the </w:t>
      </w:r>
      <w:r w:rsidR="00B81CBF">
        <w:rPr>
          <w:rFonts w:ascii="Trebuchet MS" w:hAnsi="Trebuchet MS" w:cs="Verdana"/>
          <w:bCs/>
          <w:sz w:val="24"/>
          <w:szCs w:val="24"/>
        </w:rPr>
        <w:t>yield</w:t>
      </w:r>
      <w:r w:rsidR="00935410">
        <w:rPr>
          <w:rFonts w:ascii="Trebuchet MS" w:hAnsi="Trebuchet MS" w:cs="Verdana"/>
          <w:bCs/>
          <w:sz w:val="24"/>
          <w:szCs w:val="24"/>
        </w:rPr>
        <w:t xml:space="preserve"> might be higher but only concluded a further 62 homes could be added</w:t>
      </w:r>
      <w:r w:rsidR="00B81CBF">
        <w:rPr>
          <w:rFonts w:ascii="Trebuchet MS" w:hAnsi="Trebuchet MS" w:cs="Verdana"/>
          <w:bCs/>
          <w:sz w:val="24"/>
          <w:szCs w:val="24"/>
        </w:rPr>
        <w:t>.</w:t>
      </w:r>
      <w:r w:rsidR="00935410">
        <w:rPr>
          <w:rFonts w:ascii="Trebuchet MS" w:hAnsi="Trebuchet MS" w:cs="Verdana"/>
          <w:bCs/>
          <w:sz w:val="24"/>
          <w:szCs w:val="24"/>
        </w:rPr>
        <w:t xml:space="preserve"> </w:t>
      </w:r>
    </w:p>
    <w:p w14:paraId="11CF6D32" w14:textId="77777777" w:rsidR="00B81CBF" w:rsidRDefault="00B81CBF" w:rsidP="00226AA7">
      <w:pPr>
        <w:jc w:val="both"/>
        <w:rPr>
          <w:rFonts w:ascii="Trebuchet MS" w:hAnsi="Trebuchet MS" w:cs="Verdana"/>
          <w:bCs/>
          <w:sz w:val="24"/>
          <w:szCs w:val="24"/>
        </w:rPr>
      </w:pPr>
    </w:p>
    <w:p w14:paraId="6661015B" w14:textId="30B7F515" w:rsidR="00B81CBF" w:rsidRDefault="007A424F" w:rsidP="00226AA7">
      <w:pPr>
        <w:jc w:val="both"/>
        <w:rPr>
          <w:rFonts w:ascii="Trebuchet MS" w:hAnsi="Trebuchet MS" w:cs="Verdana"/>
          <w:bCs/>
          <w:sz w:val="24"/>
          <w:szCs w:val="24"/>
        </w:rPr>
      </w:pPr>
      <w:r>
        <w:rPr>
          <w:rFonts w:ascii="Trebuchet MS" w:hAnsi="Trebuchet MS" w:cs="Verdana"/>
          <w:bCs/>
          <w:sz w:val="24"/>
          <w:szCs w:val="24"/>
        </w:rPr>
        <w:t xml:space="preserve">3.1.4 </w:t>
      </w:r>
      <w:r w:rsidR="00935410">
        <w:rPr>
          <w:rFonts w:ascii="Trebuchet MS" w:hAnsi="Trebuchet MS" w:cs="Verdana"/>
          <w:bCs/>
          <w:sz w:val="24"/>
          <w:szCs w:val="24"/>
        </w:rPr>
        <w:t xml:space="preserve">This seems to me conservative and </w:t>
      </w:r>
      <w:r w:rsidR="004549F7">
        <w:rPr>
          <w:rFonts w:ascii="Trebuchet MS" w:hAnsi="Trebuchet MS" w:cs="Verdana"/>
          <w:bCs/>
          <w:sz w:val="24"/>
          <w:szCs w:val="24"/>
        </w:rPr>
        <w:t xml:space="preserve">CPRE </w:t>
      </w:r>
      <w:r w:rsidR="00FB77D7">
        <w:rPr>
          <w:rFonts w:ascii="Trebuchet MS" w:hAnsi="Trebuchet MS" w:cs="Verdana"/>
          <w:bCs/>
          <w:sz w:val="24"/>
          <w:szCs w:val="24"/>
        </w:rPr>
        <w:t>c</w:t>
      </w:r>
      <w:r w:rsidR="004549F7">
        <w:rPr>
          <w:rFonts w:ascii="Trebuchet MS" w:hAnsi="Trebuchet MS" w:cs="Verdana"/>
          <w:bCs/>
          <w:sz w:val="24"/>
          <w:szCs w:val="24"/>
        </w:rPr>
        <w:t>ould suggest further work is undertaken prior to the next stage of the Plan</w:t>
      </w:r>
      <w:r w:rsidR="00BF4BE3">
        <w:rPr>
          <w:rFonts w:ascii="Trebuchet MS" w:hAnsi="Trebuchet MS" w:cs="Verdana"/>
          <w:bCs/>
          <w:sz w:val="24"/>
          <w:szCs w:val="24"/>
        </w:rPr>
        <w:t xml:space="preserve"> to get a better understanding of </w:t>
      </w:r>
      <w:r w:rsidR="00E77A10">
        <w:rPr>
          <w:rFonts w:ascii="Trebuchet MS" w:hAnsi="Trebuchet MS" w:cs="Verdana"/>
          <w:bCs/>
          <w:sz w:val="24"/>
          <w:szCs w:val="24"/>
        </w:rPr>
        <w:t>the potential of increased densities</w:t>
      </w:r>
      <w:r w:rsidR="00935410">
        <w:rPr>
          <w:rFonts w:ascii="Trebuchet MS" w:hAnsi="Trebuchet MS" w:cs="Verdana"/>
          <w:bCs/>
          <w:sz w:val="24"/>
          <w:szCs w:val="24"/>
        </w:rPr>
        <w:t>, including applying this to future sites which may come forwards in the centres which I discus</w:t>
      </w:r>
      <w:r w:rsidR="000B7AA6">
        <w:rPr>
          <w:rFonts w:ascii="Trebuchet MS" w:hAnsi="Trebuchet MS" w:cs="Verdana"/>
          <w:bCs/>
          <w:sz w:val="24"/>
          <w:szCs w:val="24"/>
        </w:rPr>
        <w:t>s</w:t>
      </w:r>
      <w:r w:rsidR="00935410">
        <w:rPr>
          <w:rFonts w:ascii="Trebuchet MS" w:hAnsi="Trebuchet MS" w:cs="Verdana"/>
          <w:bCs/>
          <w:sz w:val="24"/>
          <w:szCs w:val="24"/>
        </w:rPr>
        <w:t xml:space="preserve"> further on</w:t>
      </w:r>
      <w:r w:rsidR="004549F7">
        <w:rPr>
          <w:rFonts w:ascii="Trebuchet MS" w:hAnsi="Trebuchet MS" w:cs="Verdana"/>
          <w:bCs/>
          <w:sz w:val="24"/>
          <w:szCs w:val="24"/>
        </w:rPr>
        <w:t>.</w:t>
      </w:r>
      <w:r w:rsidR="00935410">
        <w:rPr>
          <w:rFonts w:ascii="Trebuchet MS" w:hAnsi="Trebuchet MS" w:cs="Verdana"/>
          <w:bCs/>
          <w:sz w:val="24"/>
          <w:szCs w:val="24"/>
        </w:rPr>
        <w:t xml:space="preserve"> </w:t>
      </w:r>
    </w:p>
    <w:p w14:paraId="224C5B2F" w14:textId="77777777" w:rsidR="00874766" w:rsidRPr="00BD5E95" w:rsidRDefault="00874766" w:rsidP="00226AA7">
      <w:pPr>
        <w:jc w:val="both"/>
        <w:rPr>
          <w:rFonts w:ascii="Trebuchet MS" w:hAnsi="Trebuchet MS" w:cs="Verdana"/>
          <w:bCs/>
          <w:sz w:val="24"/>
          <w:szCs w:val="24"/>
        </w:rPr>
      </w:pPr>
    </w:p>
    <w:p w14:paraId="6D4B6A55" w14:textId="77777777" w:rsidR="007A424F" w:rsidRDefault="007A424F" w:rsidP="00226AA7">
      <w:pPr>
        <w:jc w:val="both"/>
        <w:rPr>
          <w:rFonts w:ascii="Trebuchet MS" w:hAnsi="Trebuchet MS" w:cs="Verdana"/>
          <w:bCs/>
          <w:i/>
          <w:iCs/>
          <w:sz w:val="24"/>
          <w:szCs w:val="24"/>
        </w:rPr>
      </w:pPr>
    </w:p>
    <w:p w14:paraId="5931F77A" w14:textId="77777777" w:rsidR="007A424F" w:rsidRDefault="007A424F" w:rsidP="00226AA7">
      <w:pPr>
        <w:jc w:val="both"/>
        <w:rPr>
          <w:rFonts w:ascii="Trebuchet MS" w:hAnsi="Trebuchet MS" w:cs="Verdana"/>
          <w:bCs/>
          <w:i/>
          <w:iCs/>
          <w:sz w:val="24"/>
          <w:szCs w:val="24"/>
        </w:rPr>
      </w:pPr>
    </w:p>
    <w:p w14:paraId="4854F2EB" w14:textId="77777777" w:rsidR="007A424F" w:rsidRDefault="007A424F" w:rsidP="00226AA7">
      <w:pPr>
        <w:jc w:val="both"/>
        <w:rPr>
          <w:rFonts w:ascii="Trebuchet MS" w:hAnsi="Trebuchet MS" w:cs="Verdana"/>
          <w:bCs/>
          <w:i/>
          <w:iCs/>
          <w:sz w:val="24"/>
          <w:szCs w:val="24"/>
        </w:rPr>
      </w:pPr>
    </w:p>
    <w:p w14:paraId="2F5B820C" w14:textId="77777777" w:rsidR="007A424F" w:rsidRDefault="007A424F" w:rsidP="00226AA7">
      <w:pPr>
        <w:jc w:val="both"/>
        <w:rPr>
          <w:rFonts w:ascii="Trebuchet MS" w:hAnsi="Trebuchet MS" w:cs="Verdana"/>
          <w:bCs/>
          <w:i/>
          <w:iCs/>
          <w:sz w:val="24"/>
          <w:szCs w:val="24"/>
        </w:rPr>
      </w:pPr>
    </w:p>
    <w:p w14:paraId="5514F645" w14:textId="77777777" w:rsidR="007A424F" w:rsidRDefault="007A424F" w:rsidP="00226AA7">
      <w:pPr>
        <w:jc w:val="both"/>
        <w:rPr>
          <w:rFonts w:ascii="Trebuchet MS" w:hAnsi="Trebuchet MS" w:cs="Verdana"/>
          <w:bCs/>
          <w:i/>
          <w:iCs/>
          <w:sz w:val="24"/>
          <w:szCs w:val="24"/>
        </w:rPr>
      </w:pPr>
    </w:p>
    <w:p w14:paraId="386CC250" w14:textId="77777777" w:rsidR="007A424F" w:rsidRDefault="007A424F" w:rsidP="00226AA7">
      <w:pPr>
        <w:jc w:val="both"/>
        <w:rPr>
          <w:rFonts w:ascii="Trebuchet MS" w:hAnsi="Trebuchet MS" w:cs="Verdana"/>
          <w:bCs/>
          <w:i/>
          <w:iCs/>
          <w:sz w:val="24"/>
          <w:szCs w:val="24"/>
        </w:rPr>
      </w:pPr>
    </w:p>
    <w:p w14:paraId="7622276B" w14:textId="77777777" w:rsidR="007A424F" w:rsidRDefault="007A424F" w:rsidP="00226AA7">
      <w:pPr>
        <w:jc w:val="both"/>
        <w:rPr>
          <w:rFonts w:ascii="Trebuchet MS" w:hAnsi="Trebuchet MS" w:cs="Verdana"/>
          <w:bCs/>
          <w:i/>
          <w:iCs/>
          <w:sz w:val="24"/>
          <w:szCs w:val="24"/>
        </w:rPr>
      </w:pPr>
    </w:p>
    <w:p w14:paraId="6652EC58" w14:textId="3F6739D3" w:rsidR="00DE256F" w:rsidRPr="000A5D5C" w:rsidRDefault="007A424F" w:rsidP="00226AA7">
      <w:pPr>
        <w:jc w:val="both"/>
        <w:rPr>
          <w:rFonts w:ascii="Trebuchet MS" w:hAnsi="Trebuchet MS" w:cs="Verdana"/>
          <w:bCs/>
          <w:i/>
          <w:iCs/>
          <w:sz w:val="24"/>
          <w:szCs w:val="24"/>
        </w:rPr>
      </w:pPr>
      <w:r>
        <w:rPr>
          <w:rFonts w:ascii="Trebuchet MS" w:hAnsi="Trebuchet MS" w:cs="Verdana"/>
          <w:bCs/>
          <w:i/>
          <w:iCs/>
          <w:sz w:val="24"/>
          <w:szCs w:val="24"/>
        </w:rPr>
        <w:t xml:space="preserve">3.2 </w:t>
      </w:r>
      <w:r w:rsidR="00C9340E">
        <w:rPr>
          <w:rFonts w:ascii="Trebuchet MS" w:hAnsi="Trebuchet MS" w:cs="Verdana"/>
          <w:bCs/>
          <w:i/>
          <w:iCs/>
          <w:sz w:val="24"/>
          <w:szCs w:val="24"/>
        </w:rPr>
        <w:t xml:space="preserve">Housing on </w:t>
      </w:r>
      <w:r w:rsidR="00DE256F">
        <w:rPr>
          <w:rFonts w:ascii="Trebuchet MS" w:hAnsi="Trebuchet MS" w:cs="Verdana"/>
          <w:bCs/>
          <w:i/>
          <w:iCs/>
          <w:sz w:val="24"/>
          <w:szCs w:val="24"/>
        </w:rPr>
        <w:t>Industrial Land</w:t>
      </w:r>
    </w:p>
    <w:p w14:paraId="1641D6BF" w14:textId="77777777" w:rsidR="00DE256F" w:rsidRDefault="00DE256F" w:rsidP="00226AA7">
      <w:pPr>
        <w:jc w:val="both"/>
        <w:rPr>
          <w:rFonts w:ascii="Trebuchet MS" w:hAnsi="Trebuchet MS" w:cs="Verdana"/>
          <w:bCs/>
          <w:sz w:val="24"/>
          <w:szCs w:val="24"/>
        </w:rPr>
      </w:pPr>
    </w:p>
    <w:p w14:paraId="6CBB4C17" w14:textId="77777777" w:rsidR="00935410" w:rsidRDefault="00935410" w:rsidP="00226AA7">
      <w:pPr>
        <w:jc w:val="both"/>
        <w:rPr>
          <w:rFonts w:ascii="Trebuchet MS" w:hAnsi="Trebuchet MS" w:cs="Verdana"/>
          <w:bCs/>
          <w:sz w:val="24"/>
          <w:szCs w:val="24"/>
        </w:rPr>
      </w:pPr>
    </w:p>
    <w:p w14:paraId="014AABA5" w14:textId="19A5E469" w:rsidR="00935410" w:rsidRDefault="007A424F" w:rsidP="00226AA7">
      <w:pPr>
        <w:jc w:val="both"/>
        <w:rPr>
          <w:rFonts w:ascii="Trebuchet MS" w:hAnsi="Trebuchet MS"/>
          <w:sz w:val="24"/>
          <w:szCs w:val="24"/>
        </w:rPr>
      </w:pPr>
      <w:r>
        <w:rPr>
          <w:rFonts w:ascii="Trebuchet MS" w:hAnsi="Trebuchet MS" w:cs="Verdana"/>
          <w:bCs/>
          <w:sz w:val="24"/>
          <w:szCs w:val="24"/>
        </w:rPr>
        <w:t xml:space="preserve">3.2.1 </w:t>
      </w:r>
      <w:r w:rsidR="004549F7">
        <w:rPr>
          <w:rFonts w:ascii="Trebuchet MS" w:hAnsi="Trebuchet MS" w:cs="Verdana"/>
          <w:bCs/>
          <w:sz w:val="24"/>
          <w:szCs w:val="24"/>
        </w:rPr>
        <w:t>The</w:t>
      </w:r>
      <w:r w:rsidR="00896376">
        <w:rPr>
          <w:rFonts w:ascii="Trebuchet MS" w:hAnsi="Trebuchet MS" w:cs="Verdana"/>
          <w:bCs/>
          <w:sz w:val="24"/>
          <w:szCs w:val="24"/>
        </w:rPr>
        <w:t xml:space="preserve"> </w:t>
      </w:r>
      <w:r w:rsidR="00BD5E95" w:rsidRPr="00BD5E95">
        <w:rPr>
          <w:rFonts w:ascii="Trebuchet MS" w:hAnsi="Trebuchet MS" w:cs="Verdana"/>
          <w:bCs/>
          <w:sz w:val="24"/>
          <w:szCs w:val="24"/>
        </w:rPr>
        <w:t xml:space="preserve">anticipated supply from industrial land </w:t>
      </w:r>
      <w:r w:rsidR="004549F7">
        <w:rPr>
          <w:rFonts w:ascii="Trebuchet MS" w:hAnsi="Trebuchet MS" w:cs="Verdana"/>
          <w:bCs/>
          <w:sz w:val="24"/>
          <w:szCs w:val="24"/>
        </w:rPr>
        <w:t xml:space="preserve">across the Black Country was reduced </w:t>
      </w:r>
      <w:r w:rsidR="00BD5E95" w:rsidRPr="00BD5E95">
        <w:rPr>
          <w:rFonts w:ascii="Trebuchet MS" w:hAnsi="Trebuchet MS" w:cs="Verdana"/>
          <w:bCs/>
          <w:sz w:val="24"/>
          <w:szCs w:val="24"/>
        </w:rPr>
        <w:t>from 1</w:t>
      </w:r>
      <w:r w:rsidR="00A71EB8">
        <w:rPr>
          <w:rFonts w:ascii="Trebuchet MS" w:hAnsi="Trebuchet MS" w:cs="Verdana"/>
          <w:bCs/>
          <w:sz w:val="24"/>
          <w:szCs w:val="24"/>
        </w:rPr>
        <w:t>4</w:t>
      </w:r>
      <w:r w:rsidR="00BD5E95" w:rsidRPr="00BD5E95">
        <w:rPr>
          <w:rFonts w:ascii="Trebuchet MS" w:hAnsi="Trebuchet MS" w:cs="Verdana"/>
          <w:bCs/>
          <w:sz w:val="24"/>
          <w:szCs w:val="24"/>
        </w:rPr>
        <w:t>,</w:t>
      </w:r>
      <w:r w:rsidR="00A71EB8">
        <w:rPr>
          <w:rFonts w:ascii="Trebuchet MS" w:hAnsi="Trebuchet MS" w:cs="Verdana"/>
          <w:bCs/>
          <w:sz w:val="24"/>
          <w:szCs w:val="24"/>
        </w:rPr>
        <w:t>80</w:t>
      </w:r>
      <w:r w:rsidR="00CA51B2">
        <w:rPr>
          <w:rFonts w:ascii="Trebuchet MS" w:hAnsi="Trebuchet MS" w:cs="Verdana"/>
          <w:bCs/>
          <w:sz w:val="24"/>
          <w:szCs w:val="24"/>
        </w:rPr>
        <w:t>0</w:t>
      </w:r>
      <w:r w:rsidR="000750F9">
        <w:rPr>
          <w:rStyle w:val="FootnoteReference"/>
          <w:rFonts w:ascii="Trebuchet MS" w:hAnsi="Trebuchet MS" w:cs="Verdana"/>
          <w:bCs/>
          <w:sz w:val="24"/>
          <w:szCs w:val="24"/>
        </w:rPr>
        <w:footnoteReference w:id="3"/>
      </w:r>
      <w:r w:rsidR="00BD5E95" w:rsidRPr="00BD5E95">
        <w:rPr>
          <w:rFonts w:ascii="Trebuchet MS" w:hAnsi="Trebuchet MS" w:cs="Verdana"/>
          <w:bCs/>
          <w:sz w:val="24"/>
          <w:szCs w:val="24"/>
        </w:rPr>
        <w:t xml:space="preserve"> to </w:t>
      </w:r>
      <w:r w:rsidR="00A71EB8">
        <w:rPr>
          <w:rFonts w:ascii="Trebuchet MS" w:hAnsi="Trebuchet MS" w:cs="Verdana"/>
          <w:bCs/>
          <w:sz w:val="24"/>
          <w:szCs w:val="24"/>
        </w:rPr>
        <w:t xml:space="preserve">3,826 </w:t>
      </w:r>
      <w:r w:rsidR="004549F7">
        <w:rPr>
          <w:rFonts w:ascii="Trebuchet MS" w:hAnsi="Trebuchet MS" w:cs="Verdana"/>
          <w:bCs/>
          <w:sz w:val="24"/>
          <w:szCs w:val="24"/>
        </w:rPr>
        <w:t>as part of the development of the Black Country Plan</w:t>
      </w:r>
      <w:r w:rsidR="003B2C0A">
        <w:rPr>
          <w:rFonts w:ascii="Trebuchet MS" w:hAnsi="Trebuchet MS" w:cs="Verdana"/>
          <w:bCs/>
          <w:sz w:val="24"/>
          <w:szCs w:val="24"/>
        </w:rPr>
        <w:t xml:space="preserve"> </w:t>
      </w:r>
      <w:r w:rsidR="003B2C0A" w:rsidRPr="005C5BFC">
        <w:rPr>
          <w:rFonts w:ascii="Trebuchet MS" w:hAnsi="Trebuchet MS" w:cs="Verdana"/>
          <w:bCs/>
          <w:sz w:val="24"/>
          <w:szCs w:val="24"/>
        </w:rPr>
        <w:t xml:space="preserve">based on work undertaken in the BEAR </w:t>
      </w:r>
      <w:r w:rsidR="003B2C0A" w:rsidRPr="005C5BFC">
        <w:rPr>
          <w:rFonts w:ascii="Trebuchet MS" w:hAnsi="Trebuchet MS"/>
          <w:sz w:val="24"/>
          <w:szCs w:val="24"/>
        </w:rPr>
        <w:t>(Black Country Employment Area Review</w:t>
      </w:r>
      <w:r w:rsidR="00576523">
        <w:rPr>
          <w:rFonts w:ascii="Trebuchet MS" w:hAnsi="Trebuchet MS"/>
          <w:sz w:val="24"/>
          <w:szCs w:val="24"/>
        </w:rPr>
        <w:t>, July 2021</w:t>
      </w:r>
      <w:r w:rsidR="003B2C0A">
        <w:rPr>
          <w:rFonts w:ascii="Trebuchet MS" w:hAnsi="Trebuchet MS"/>
          <w:sz w:val="24"/>
          <w:szCs w:val="24"/>
        </w:rPr>
        <w:t xml:space="preserve">) a report </w:t>
      </w:r>
      <w:r w:rsidR="00935410">
        <w:rPr>
          <w:rFonts w:ascii="Trebuchet MS" w:hAnsi="Trebuchet MS"/>
          <w:sz w:val="24"/>
          <w:szCs w:val="24"/>
        </w:rPr>
        <w:t xml:space="preserve">which </w:t>
      </w:r>
      <w:r w:rsidR="003B2C0A">
        <w:rPr>
          <w:rFonts w:ascii="Trebuchet MS" w:hAnsi="Trebuchet MS"/>
          <w:sz w:val="24"/>
          <w:szCs w:val="24"/>
        </w:rPr>
        <w:t xml:space="preserve">CPRE suggested at the time was too biased towards protecting employment land. </w:t>
      </w:r>
    </w:p>
    <w:p w14:paraId="3F4CB056" w14:textId="77777777" w:rsidR="00935410" w:rsidRDefault="00935410" w:rsidP="00226AA7">
      <w:pPr>
        <w:jc w:val="both"/>
        <w:rPr>
          <w:rFonts w:ascii="Trebuchet MS" w:hAnsi="Trebuchet MS"/>
          <w:sz w:val="24"/>
          <w:szCs w:val="24"/>
        </w:rPr>
      </w:pPr>
    </w:p>
    <w:p w14:paraId="2B4C491A" w14:textId="645B7733" w:rsidR="00935410" w:rsidRDefault="007A424F" w:rsidP="00226AA7">
      <w:pPr>
        <w:jc w:val="both"/>
        <w:rPr>
          <w:rFonts w:ascii="Trebuchet MS" w:hAnsi="Trebuchet MS"/>
          <w:sz w:val="24"/>
          <w:szCs w:val="24"/>
        </w:rPr>
      </w:pPr>
      <w:r>
        <w:rPr>
          <w:rFonts w:ascii="Trebuchet MS" w:hAnsi="Trebuchet MS"/>
          <w:sz w:val="24"/>
          <w:szCs w:val="24"/>
        </w:rPr>
        <w:t xml:space="preserve">3.2.2 </w:t>
      </w:r>
      <w:r w:rsidR="003B2C0A">
        <w:rPr>
          <w:rFonts w:ascii="Trebuchet MS" w:hAnsi="Trebuchet MS"/>
          <w:sz w:val="24"/>
          <w:szCs w:val="24"/>
        </w:rPr>
        <w:t xml:space="preserve">That supply </w:t>
      </w:r>
      <w:r w:rsidR="00935410">
        <w:rPr>
          <w:rFonts w:ascii="Trebuchet MS" w:hAnsi="Trebuchet MS"/>
          <w:sz w:val="24"/>
          <w:szCs w:val="24"/>
        </w:rPr>
        <w:t xml:space="preserve">also </w:t>
      </w:r>
      <w:r w:rsidR="003B2C0A">
        <w:rPr>
          <w:rFonts w:ascii="Trebuchet MS" w:hAnsi="Trebuchet MS" w:cs="Verdana"/>
          <w:bCs/>
          <w:sz w:val="24"/>
          <w:szCs w:val="24"/>
        </w:rPr>
        <w:t xml:space="preserve">did not include any industrial land from Walsall, </w:t>
      </w:r>
      <w:r w:rsidR="00FB77D7">
        <w:rPr>
          <w:rFonts w:ascii="Trebuchet MS" w:hAnsi="Trebuchet MS" w:cs="Verdana"/>
          <w:bCs/>
          <w:sz w:val="24"/>
          <w:szCs w:val="24"/>
        </w:rPr>
        <w:t>an omission</w:t>
      </w:r>
      <w:r w:rsidR="003B2C0A">
        <w:rPr>
          <w:rFonts w:ascii="Trebuchet MS" w:hAnsi="Trebuchet MS" w:cs="Verdana"/>
          <w:bCs/>
          <w:sz w:val="24"/>
          <w:szCs w:val="24"/>
        </w:rPr>
        <w:t xml:space="preserve"> </w:t>
      </w:r>
      <w:r w:rsidR="00FB77D7">
        <w:rPr>
          <w:rFonts w:ascii="Trebuchet MS" w:hAnsi="Trebuchet MS" w:cs="Verdana"/>
          <w:bCs/>
          <w:sz w:val="24"/>
          <w:szCs w:val="24"/>
        </w:rPr>
        <w:t xml:space="preserve">WM </w:t>
      </w:r>
      <w:r w:rsidR="003B2C0A">
        <w:rPr>
          <w:rFonts w:ascii="Trebuchet MS" w:hAnsi="Trebuchet MS" w:cs="Verdana"/>
          <w:bCs/>
          <w:sz w:val="24"/>
          <w:szCs w:val="24"/>
        </w:rPr>
        <w:t>CPRE also questioned at the time</w:t>
      </w:r>
      <w:r w:rsidR="00935410">
        <w:rPr>
          <w:rFonts w:ascii="Trebuchet MS" w:hAnsi="Trebuchet MS" w:cs="Verdana"/>
          <w:bCs/>
          <w:sz w:val="24"/>
          <w:szCs w:val="24"/>
        </w:rPr>
        <w:t xml:space="preserve">. CPRE considered </w:t>
      </w:r>
      <w:r w:rsidR="003B2C0A">
        <w:rPr>
          <w:rFonts w:ascii="Trebuchet MS" w:hAnsi="Trebuchet MS" w:cs="Verdana"/>
          <w:bCs/>
          <w:sz w:val="24"/>
          <w:szCs w:val="24"/>
        </w:rPr>
        <w:t>i</w:t>
      </w:r>
      <w:r w:rsidR="00BA29B8" w:rsidRPr="00A775D7">
        <w:rPr>
          <w:rFonts w:ascii="Trebuchet MS" w:hAnsi="Trebuchet MS"/>
          <w:sz w:val="24"/>
          <w:szCs w:val="24"/>
        </w:rPr>
        <w:t>t unlikely that no land in the borough w</w:t>
      </w:r>
      <w:r w:rsidR="003B2C0A">
        <w:rPr>
          <w:rFonts w:ascii="Trebuchet MS" w:hAnsi="Trebuchet MS"/>
          <w:sz w:val="24"/>
          <w:szCs w:val="24"/>
        </w:rPr>
        <w:t xml:space="preserve">ould be </w:t>
      </w:r>
      <w:r w:rsidR="00BA29B8" w:rsidRPr="00A775D7">
        <w:rPr>
          <w:rFonts w:ascii="Trebuchet MS" w:hAnsi="Trebuchet MS"/>
          <w:sz w:val="24"/>
          <w:szCs w:val="24"/>
        </w:rPr>
        <w:t xml:space="preserve">released from employment usage over this time but clearly there </w:t>
      </w:r>
      <w:r w:rsidR="00285B56">
        <w:rPr>
          <w:rFonts w:ascii="Trebuchet MS" w:hAnsi="Trebuchet MS"/>
          <w:sz w:val="24"/>
          <w:szCs w:val="24"/>
        </w:rPr>
        <w:t>is</w:t>
      </w:r>
      <w:r w:rsidR="00BA29B8" w:rsidRPr="00A775D7">
        <w:rPr>
          <w:rFonts w:ascii="Trebuchet MS" w:hAnsi="Trebuchet MS"/>
          <w:sz w:val="24"/>
          <w:szCs w:val="24"/>
        </w:rPr>
        <w:t xml:space="preserve"> uncertainty.</w:t>
      </w:r>
      <w:r w:rsidR="00DE256F">
        <w:rPr>
          <w:rFonts w:ascii="Trebuchet MS" w:hAnsi="Trebuchet MS"/>
          <w:sz w:val="24"/>
          <w:szCs w:val="24"/>
        </w:rPr>
        <w:t xml:space="preserve"> </w:t>
      </w:r>
    </w:p>
    <w:p w14:paraId="330CA4CE" w14:textId="77777777" w:rsidR="00935410" w:rsidRDefault="00935410" w:rsidP="00226AA7">
      <w:pPr>
        <w:jc w:val="both"/>
        <w:rPr>
          <w:rFonts w:ascii="Trebuchet MS" w:hAnsi="Trebuchet MS"/>
          <w:sz w:val="24"/>
          <w:szCs w:val="24"/>
        </w:rPr>
      </w:pPr>
    </w:p>
    <w:p w14:paraId="365256D5" w14:textId="79E8871D" w:rsidR="003B2C0A" w:rsidRDefault="007A424F" w:rsidP="00226AA7">
      <w:pPr>
        <w:jc w:val="both"/>
        <w:rPr>
          <w:rFonts w:ascii="Trebuchet MS" w:hAnsi="Trebuchet MS"/>
          <w:sz w:val="24"/>
          <w:szCs w:val="24"/>
        </w:rPr>
      </w:pPr>
      <w:r>
        <w:rPr>
          <w:rFonts w:ascii="Trebuchet MS" w:hAnsi="Trebuchet MS"/>
          <w:sz w:val="24"/>
          <w:szCs w:val="24"/>
        </w:rPr>
        <w:t xml:space="preserve">3.2.3 </w:t>
      </w:r>
      <w:r w:rsidR="003B2C0A">
        <w:rPr>
          <w:rFonts w:ascii="Trebuchet MS" w:hAnsi="Trebuchet MS"/>
          <w:sz w:val="24"/>
          <w:szCs w:val="24"/>
        </w:rPr>
        <w:t xml:space="preserve">In terms of Sandwell specifically the </w:t>
      </w:r>
      <w:r w:rsidR="00935410">
        <w:rPr>
          <w:rFonts w:ascii="Trebuchet MS" w:hAnsi="Trebuchet MS"/>
          <w:sz w:val="24"/>
          <w:szCs w:val="24"/>
        </w:rPr>
        <w:t xml:space="preserve">BC </w:t>
      </w:r>
      <w:r w:rsidR="003B2C0A">
        <w:rPr>
          <w:rFonts w:ascii="Trebuchet MS" w:hAnsi="Trebuchet MS"/>
          <w:sz w:val="24"/>
          <w:szCs w:val="24"/>
        </w:rPr>
        <w:t>Urban Capaci</w:t>
      </w:r>
      <w:r w:rsidR="00E77A10">
        <w:rPr>
          <w:rFonts w:ascii="Trebuchet MS" w:hAnsi="Trebuchet MS"/>
          <w:sz w:val="24"/>
          <w:szCs w:val="24"/>
        </w:rPr>
        <w:t>t</w:t>
      </w:r>
      <w:r w:rsidR="00935410">
        <w:rPr>
          <w:rFonts w:ascii="Trebuchet MS" w:hAnsi="Trebuchet MS"/>
          <w:sz w:val="24"/>
          <w:szCs w:val="24"/>
        </w:rPr>
        <w:t>y</w:t>
      </w:r>
      <w:r w:rsidR="003B2C0A">
        <w:rPr>
          <w:rFonts w:ascii="Trebuchet MS" w:hAnsi="Trebuchet MS"/>
          <w:sz w:val="24"/>
          <w:szCs w:val="24"/>
        </w:rPr>
        <w:t xml:space="preserve"> Study </w:t>
      </w:r>
      <w:r w:rsidR="00576523">
        <w:rPr>
          <w:rFonts w:ascii="Trebuchet MS" w:hAnsi="Trebuchet MS"/>
          <w:sz w:val="24"/>
          <w:szCs w:val="24"/>
        </w:rPr>
        <w:t xml:space="preserve">(May 2021) reduced </w:t>
      </w:r>
      <w:r w:rsidR="003B2C0A">
        <w:rPr>
          <w:rFonts w:ascii="Trebuchet MS" w:hAnsi="Trebuchet MS"/>
          <w:sz w:val="24"/>
          <w:szCs w:val="24"/>
        </w:rPr>
        <w:t xml:space="preserve">the </w:t>
      </w:r>
      <w:r w:rsidR="00576523">
        <w:rPr>
          <w:rFonts w:ascii="Trebuchet MS" w:hAnsi="Trebuchet MS"/>
          <w:sz w:val="24"/>
          <w:szCs w:val="24"/>
        </w:rPr>
        <w:t xml:space="preserve">anticipated </w:t>
      </w:r>
      <w:r w:rsidR="003B2C0A">
        <w:rPr>
          <w:rFonts w:ascii="Trebuchet MS" w:hAnsi="Trebuchet MS"/>
          <w:sz w:val="24"/>
          <w:szCs w:val="24"/>
        </w:rPr>
        <w:t>housing from employment land from 9</w:t>
      </w:r>
      <w:r w:rsidR="00576523">
        <w:rPr>
          <w:rFonts w:ascii="Trebuchet MS" w:hAnsi="Trebuchet MS"/>
          <w:sz w:val="24"/>
          <w:szCs w:val="24"/>
        </w:rPr>
        <w:t>,</w:t>
      </w:r>
      <w:r w:rsidR="003B2C0A">
        <w:rPr>
          <w:rFonts w:ascii="Trebuchet MS" w:hAnsi="Trebuchet MS"/>
          <w:sz w:val="24"/>
          <w:szCs w:val="24"/>
        </w:rPr>
        <w:t xml:space="preserve">453 </w:t>
      </w:r>
      <w:r w:rsidR="00576523">
        <w:rPr>
          <w:rFonts w:ascii="Trebuchet MS" w:hAnsi="Trebuchet MS"/>
          <w:sz w:val="24"/>
          <w:szCs w:val="24"/>
        </w:rPr>
        <w:t xml:space="preserve">dwellings </w:t>
      </w:r>
      <w:r w:rsidR="003B2C0A">
        <w:rPr>
          <w:rFonts w:ascii="Trebuchet MS" w:hAnsi="Trebuchet MS"/>
          <w:sz w:val="24"/>
          <w:szCs w:val="24"/>
        </w:rPr>
        <w:t>to 2</w:t>
      </w:r>
      <w:r w:rsidR="00576523">
        <w:rPr>
          <w:rFonts w:ascii="Trebuchet MS" w:hAnsi="Trebuchet MS"/>
          <w:sz w:val="24"/>
          <w:szCs w:val="24"/>
        </w:rPr>
        <w:t>,</w:t>
      </w:r>
      <w:r w:rsidR="003B2C0A">
        <w:rPr>
          <w:rFonts w:ascii="Trebuchet MS" w:hAnsi="Trebuchet MS"/>
          <w:sz w:val="24"/>
          <w:szCs w:val="24"/>
        </w:rPr>
        <w:t xml:space="preserve">163 (a </w:t>
      </w:r>
      <w:r w:rsidR="00576523">
        <w:rPr>
          <w:rFonts w:ascii="Trebuchet MS" w:hAnsi="Trebuchet MS"/>
          <w:sz w:val="24"/>
          <w:szCs w:val="24"/>
        </w:rPr>
        <w:t xml:space="preserve">fall </w:t>
      </w:r>
      <w:r w:rsidR="003B2C0A">
        <w:rPr>
          <w:rFonts w:ascii="Trebuchet MS" w:hAnsi="Trebuchet MS"/>
          <w:sz w:val="24"/>
          <w:szCs w:val="24"/>
        </w:rPr>
        <w:t>of 7</w:t>
      </w:r>
      <w:r w:rsidR="00576523">
        <w:rPr>
          <w:rFonts w:ascii="Trebuchet MS" w:hAnsi="Trebuchet MS"/>
          <w:sz w:val="24"/>
          <w:szCs w:val="24"/>
        </w:rPr>
        <w:t>,</w:t>
      </w:r>
      <w:r w:rsidR="003B2C0A">
        <w:rPr>
          <w:rFonts w:ascii="Trebuchet MS" w:hAnsi="Trebuchet MS"/>
          <w:sz w:val="24"/>
          <w:szCs w:val="24"/>
        </w:rPr>
        <w:t>290), by far the greatest reduction across the Black Country.</w:t>
      </w:r>
    </w:p>
    <w:p w14:paraId="69C4791A" w14:textId="77777777" w:rsidR="003B2C0A" w:rsidRDefault="003B2C0A" w:rsidP="00226AA7">
      <w:pPr>
        <w:jc w:val="both"/>
        <w:rPr>
          <w:rFonts w:ascii="Trebuchet MS" w:hAnsi="Trebuchet MS"/>
          <w:sz w:val="24"/>
          <w:szCs w:val="24"/>
        </w:rPr>
      </w:pPr>
    </w:p>
    <w:p w14:paraId="6E412344" w14:textId="35FBBF61" w:rsidR="003B2C0A" w:rsidRPr="00E77A10" w:rsidRDefault="007A424F" w:rsidP="003B2C0A">
      <w:pPr>
        <w:pStyle w:val="Default"/>
        <w:jc w:val="both"/>
        <w:rPr>
          <w:rFonts w:ascii="Trebuchet MS" w:hAnsi="Trebuchet MS"/>
        </w:rPr>
      </w:pPr>
      <w:r>
        <w:rPr>
          <w:rFonts w:ascii="Trebuchet MS" w:hAnsi="Trebuchet MS"/>
        </w:rPr>
        <w:t xml:space="preserve">3.2.4 </w:t>
      </w:r>
      <w:r w:rsidR="003B2C0A" w:rsidRPr="00E77A10">
        <w:rPr>
          <w:rFonts w:ascii="Trebuchet MS" w:hAnsi="Trebuchet MS"/>
        </w:rPr>
        <w:t xml:space="preserve">The latest </w:t>
      </w:r>
      <w:r w:rsidR="00576523">
        <w:rPr>
          <w:rFonts w:ascii="Trebuchet MS" w:hAnsi="Trebuchet MS"/>
        </w:rPr>
        <w:t xml:space="preserve">Sandwell </w:t>
      </w:r>
      <w:r w:rsidR="003B2C0A" w:rsidRPr="00E77A10">
        <w:rPr>
          <w:rFonts w:ascii="Trebuchet MS" w:hAnsi="Trebuchet MS"/>
        </w:rPr>
        <w:t>SHLAA (Par</w:t>
      </w:r>
      <w:r w:rsidR="00B247A7" w:rsidRPr="00E77A10">
        <w:rPr>
          <w:rFonts w:ascii="Trebuchet MS" w:hAnsi="Trebuchet MS"/>
        </w:rPr>
        <w:t>a</w:t>
      </w:r>
      <w:r w:rsidR="003B2C0A" w:rsidRPr="00E77A10">
        <w:rPr>
          <w:rFonts w:ascii="Trebuchet MS" w:hAnsi="Trebuchet MS"/>
        </w:rPr>
        <w:t xml:space="preserve"> 8.20</w:t>
      </w:r>
      <w:r w:rsidR="00B247A7" w:rsidRPr="00E77A10">
        <w:rPr>
          <w:rFonts w:ascii="Trebuchet MS" w:hAnsi="Trebuchet MS"/>
        </w:rPr>
        <w:t>)</w:t>
      </w:r>
      <w:r w:rsidR="003B2C0A" w:rsidRPr="00E77A10">
        <w:rPr>
          <w:rFonts w:ascii="Trebuchet MS" w:hAnsi="Trebuchet MS"/>
        </w:rPr>
        <w:t xml:space="preserve"> includes an overall figure for houses removed from the plan following the EDNA, BEAR and land owner engagement of 8,560. The SHLAA </w:t>
      </w:r>
      <w:r w:rsidR="00576523">
        <w:rPr>
          <w:rFonts w:ascii="Trebuchet MS" w:hAnsi="Trebuchet MS"/>
        </w:rPr>
        <w:t xml:space="preserve">also </w:t>
      </w:r>
      <w:r w:rsidR="003B2C0A" w:rsidRPr="00E77A10">
        <w:rPr>
          <w:rFonts w:ascii="Trebuchet MS" w:hAnsi="Trebuchet MS"/>
        </w:rPr>
        <w:t xml:space="preserve">includes a list of discounted </w:t>
      </w:r>
      <w:r w:rsidR="00576523">
        <w:rPr>
          <w:rFonts w:ascii="Trebuchet MS" w:hAnsi="Trebuchet MS"/>
        </w:rPr>
        <w:t xml:space="preserve">employment (and other </w:t>
      </w:r>
      <w:r w:rsidR="003B2C0A" w:rsidRPr="00E77A10">
        <w:rPr>
          <w:rFonts w:ascii="Trebuchet MS" w:hAnsi="Trebuchet MS"/>
        </w:rPr>
        <w:t>site</w:t>
      </w:r>
      <w:r w:rsidR="00576523">
        <w:rPr>
          <w:rFonts w:ascii="Trebuchet MS" w:hAnsi="Trebuchet MS"/>
        </w:rPr>
        <w:t xml:space="preserve">s) that I assume correspond with that </w:t>
      </w:r>
      <w:r w:rsidR="00C71310">
        <w:rPr>
          <w:rFonts w:ascii="Trebuchet MS" w:hAnsi="Trebuchet MS"/>
        </w:rPr>
        <w:t>n</w:t>
      </w:r>
      <w:r w:rsidR="00576523">
        <w:rPr>
          <w:rFonts w:ascii="Trebuchet MS" w:hAnsi="Trebuchet MS"/>
        </w:rPr>
        <w:t>umber. T</w:t>
      </w:r>
      <w:r w:rsidR="003B2C0A" w:rsidRPr="00E77A10">
        <w:rPr>
          <w:rFonts w:ascii="Trebuchet MS" w:hAnsi="Trebuchet MS"/>
        </w:rPr>
        <w:t>he majority are noted as ‘</w:t>
      </w:r>
      <w:r w:rsidR="003B2C0A" w:rsidRPr="00E77A10">
        <w:rPr>
          <w:rFonts w:ascii="Trebuchet MS" w:hAnsi="Trebuchet MS"/>
          <w:i/>
          <w:iCs/>
        </w:rPr>
        <w:t>No indication that looking to relocation and no relocations sites available.’</w:t>
      </w:r>
      <w:r w:rsidR="00B247A7" w:rsidRPr="00E77A10">
        <w:rPr>
          <w:rFonts w:ascii="Trebuchet MS" w:hAnsi="Trebuchet MS"/>
        </w:rPr>
        <w:t xml:space="preserve"> </w:t>
      </w:r>
      <w:r w:rsidR="00576523">
        <w:rPr>
          <w:rFonts w:ascii="Trebuchet MS" w:hAnsi="Trebuchet MS"/>
        </w:rPr>
        <w:t>It is noteworthy that f</w:t>
      </w:r>
      <w:r w:rsidR="00B247A7" w:rsidRPr="00E77A10">
        <w:rPr>
          <w:rFonts w:ascii="Trebuchet MS" w:hAnsi="Trebuchet MS"/>
        </w:rPr>
        <w:t xml:space="preserve">ar less are identified </w:t>
      </w:r>
      <w:r w:rsidR="00576523">
        <w:rPr>
          <w:rFonts w:ascii="Trebuchet MS" w:hAnsi="Trebuchet MS"/>
        </w:rPr>
        <w:t xml:space="preserve">as being </w:t>
      </w:r>
      <w:r w:rsidR="00B247A7" w:rsidRPr="00E77A10">
        <w:rPr>
          <w:rFonts w:ascii="Trebuchet MS" w:hAnsi="Trebuchet MS"/>
        </w:rPr>
        <w:t xml:space="preserve">where there has been a firm decision </w:t>
      </w:r>
      <w:r w:rsidR="00576523">
        <w:rPr>
          <w:rFonts w:ascii="Trebuchet MS" w:hAnsi="Trebuchet MS"/>
        </w:rPr>
        <w:t xml:space="preserve">of the company </w:t>
      </w:r>
      <w:r w:rsidR="00B247A7" w:rsidRPr="00E77A10">
        <w:rPr>
          <w:rFonts w:ascii="Trebuchet MS" w:hAnsi="Trebuchet MS"/>
        </w:rPr>
        <w:t xml:space="preserve">to stay and/or substantial investment to </w:t>
      </w:r>
      <w:r w:rsidR="00576523">
        <w:rPr>
          <w:rFonts w:ascii="Trebuchet MS" w:hAnsi="Trebuchet MS"/>
        </w:rPr>
        <w:t>remain</w:t>
      </w:r>
      <w:r w:rsidR="00B247A7" w:rsidRPr="00E77A10">
        <w:rPr>
          <w:rFonts w:ascii="Trebuchet MS" w:hAnsi="Trebuchet MS"/>
        </w:rPr>
        <w:t>.</w:t>
      </w:r>
    </w:p>
    <w:p w14:paraId="3722F6EA" w14:textId="77777777" w:rsidR="00B247A7" w:rsidRPr="00E77A10" w:rsidRDefault="00B247A7" w:rsidP="003B2C0A">
      <w:pPr>
        <w:pStyle w:val="Default"/>
        <w:jc w:val="both"/>
        <w:rPr>
          <w:rFonts w:ascii="Trebuchet MS" w:hAnsi="Trebuchet MS"/>
        </w:rPr>
      </w:pPr>
    </w:p>
    <w:p w14:paraId="3B6589E3" w14:textId="0141BBFE" w:rsidR="00B247A7" w:rsidRPr="00E77A10" w:rsidRDefault="007A424F" w:rsidP="003B2C0A">
      <w:pPr>
        <w:pStyle w:val="Default"/>
        <w:jc w:val="both"/>
        <w:rPr>
          <w:rFonts w:ascii="Trebuchet MS" w:hAnsi="Trebuchet MS"/>
        </w:rPr>
      </w:pPr>
      <w:r>
        <w:rPr>
          <w:rFonts w:ascii="Trebuchet MS" w:hAnsi="Trebuchet MS"/>
        </w:rPr>
        <w:t xml:space="preserve">3.2.5 </w:t>
      </w:r>
      <w:r w:rsidR="00B247A7" w:rsidRPr="00E77A10">
        <w:rPr>
          <w:rFonts w:ascii="Trebuchet MS" w:hAnsi="Trebuchet MS"/>
        </w:rPr>
        <w:t>While none of these sites can</w:t>
      </w:r>
      <w:r w:rsidR="00576523">
        <w:rPr>
          <w:rFonts w:ascii="Trebuchet MS" w:hAnsi="Trebuchet MS"/>
        </w:rPr>
        <w:t>, therefore,</w:t>
      </w:r>
      <w:r w:rsidR="00B247A7" w:rsidRPr="00E77A10">
        <w:rPr>
          <w:rFonts w:ascii="Trebuchet MS" w:hAnsi="Trebuchet MS"/>
        </w:rPr>
        <w:t xml:space="preserve"> be relied on in themselves, it seems unlikely, over such a long period, that there will not be sites where change of use will be sought. Indeed, Policy SEC4 Part 1b </w:t>
      </w:r>
      <w:r w:rsidR="00576523">
        <w:rPr>
          <w:rFonts w:ascii="Trebuchet MS" w:hAnsi="Trebuchet MS"/>
        </w:rPr>
        <w:t xml:space="preserve">of the Plan implies </w:t>
      </w:r>
      <w:r w:rsidR="00B247A7" w:rsidRPr="00E77A10">
        <w:rPr>
          <w:rFonts w:ascii="Trebuchet MS" w:hAnsi="Trebuchet MS"/>
        </w:rPr>
        <w:t>this will happen and Part 2 identifies the key policy tests</w:t>
      </w:r>
      <w:r w:rsidR="00576523">
        <w:rPr>
          <w:rFonts w:ascii="Trebuchet MS" w:hAnsi="Trebuchet MS"/>
        </w:rPr>
        <w:t xml:space="preserve"> to enable it</w:t>
      </w:r>
      <w:r w:rsidR="00B247A7" w:rsidRPr="00E77A10">
        <w:rPr>
          <w:rFonts w:ascii="Trebuchet MS" w:hAnsi="Trebuchet MS"/>
        </w:rPr>
        <w:t>.</w:t>
      </w:r>
    </w:p>
    <w:p w14:paraId="32CD014F" w14:textId="77777777" w:rsidR="00B247A7" w:rsidRPr="00E77A10" w:rsidRDefault="00B247A7" w:rsidP="003B2C0A">
      <w:pPr>
        <w:pStyle w:val="Default"/>
        <w:jc w:val="both"/>
        <w:rPr>
          <w:rFonts w:ascii="Trebuchet MS" w:hAnsi="Trebuchet MS"/>
        </w:rPr>
      </w:pPr>
    </w:p>
    <w:p w14:paraId="5257C860" w14:textId="074200A4" w:rsidR="00BA29B8" w:rsidRDefault="007A424F" w:rsidP="00226AA7">
      <w:pPr>
        <w:jc w:val="both"/>
        <w:rPr>
          <w:rFonts w:ascii="Trebuchet MS" w:hAnsi="Trebuchet MS"/>
          <w:sz w:val="24"/>
          <w:szCs w:val="24"/>
        </w:rPr>
      </w:pPr>
      <w:r>
        <w:rPr>
          <w:rFonts w:ascii="Trebuchet MS" w:hAnsi="Trebuchet MS"/>
          <w:sz w:val="24"/>
          <w:szCs w:val="24"/>
        </w:rPr>
        <w:t xml:space="preserve">3.2.6 </w:t>
      </w:r>
      <w:r w:rsidR="00B247A7" w:rsidRPr="00E77A10">
        <w:rPr>
          <w:rFonts w:ascii="Trebuchet MS" w:hAnsi="Trebuchet MS"/>
          <w:sz w:val="24"/>
          <w:szCs w:val="24"/>
        </w:rPr>
        <w:t>This is such a large potential source of supply it should not, in my view, have been simply discounted</w:t>
      </w:r>
      <w:r w:rsidR="00576523">
        <w:rPr>
          <w:rFonts w:ascii="Trebuchet MS" w:hAnsi="Trebuchet MS"/>
          <w:sz w:val="24"/>
          <w:szCs w:val="24"/>
        </w:rPr>
        <w:t>. T</w:t>
      </w:r>
      <w:r w:rsidR="00B247A7" w:rsidRPr="00E77A10">
        <w:rPr>
          <w:rFonts w:ascii="Trebuchet MS" w:hAnsi="Trebuchet MS"/>
          <w:sz w:val="24"/>
          <w:szCs w:val="24"/>
        </w:rPr>
        <w:t>he</w:t>
      </w:r>
      <w:r w:rsidR="00B247A7">
        <w:rPr>
          <w:rFonts w:ascii="Trebuchet MS" w:hAnsi="Trebuchet MS"/>
          <w:sz w:val="24"/>
          <w:szCs w:val="24"/>
        </w:rPr>
        <w:t xml:space="preserve"> obvious policy a</w:t>
      </w:r>
      <w:r w:rsidR="00BA29B8" w:rsidRPr="00A775D7">
        <w:rPr>
          <w:rFonts w:ascii="Trebuchet MS" w:hAnsi="Trebuchet MS"/>
          <w:sz w:val="24"/>
          <w:szCs w:val="24"/>
        </w:rPr>
        <w:t xml:space="preserve">pproach </w:t>
      </w:r>
      <w:r w:rsidR="000B7AA6">
        <w:rPr>
          <w:rFonts w:ascii="Trebuchet MS" w:hAnsi="Trebuchet MS"/>
          <w:sz w:val="24"/>
          <w:szCs w:val="24"/>
        </w:rPr>
        <w:t xml:space="preserve">would be </w:t>
      </w:r>
      <w:r w:rsidR="00BA29B8" w:rsidRPr="00A775D7">
        <w:rPr>
          <w:rFonts w:ascii="Trebuchet MS" w:hAnsi="Trebuchet MS"/>
          <w:sz w:val="24"/>
          <w:szCs w:val="24"/>
        </w:rPr>
        <w:t>to allow for larger windfall</w:t>
      </w:r>
      <w:r w:rsidR="00B247A7">
        <w:rPr>
          <w:rFonts w:ascii="Trebuchet MS" w:hAnsi="Trebuchet MS"/>
          <w:sz w:val="24"/>
          <w:szCs w:val="24"/>
        </w:rPr>
        <w:t xml:space="preserve"> (</w:t>
      </w:r>
      <w:r w:rsidR="003B2C0A">
        <w:rPr>
          <w:rFonts w:ascii="Trebuchet MS" w:hAnsi="Trebuchet MS"/>
          <w:sz w:val="24"/>
          <w:szCs w:val="24"/>
        </w:rPr>
        <w:t>as I discuss further on</w:t>
      </w:r>
      <w:r w:rsidR="00B247A7">
        <w:rPr>
          <w:rFonts w:ascii="Trebuchet MS" w:hAnsi="Trebuchet MS"/>
          <w:sz w:val="24"/>
          <w:szCs w:val="24"/>
        </w:rPr>
        <w:t>) using this as part of the evidence base to justify that approach</w:t>
      </w:r>
      <w:r w:rsidR="006B575F">
        <w:rPr>
          <w:rFonts w:ascii="Trebuchet MS" w:hAnsi="Trebuchet MS"/>
          <w:sz w:val="24"/>
          <w:szCs w:val="24"/>
        </w:rPr>
        <w:t>.</w:t>
      </w:r>
    </w:p>
    <w:p w14:paraId="1766A501" w14:textId="6C4D9237" w:rsidR="003B2C0A" w:rsidRDefault="00E77A10" w:rsidP="00E77A10">
      <w:pPr>
        <w:tabs>
          <w:tab w:val="left" w:pos="1485"/>
        </w:tabs>
        <w:jc w:val="both"/>
        <w:rPr>
          <w:rFonts w:ascii="Trebuchet MS" w:hAnsi="Trebuchet MS"/>
          <w:sz w:val="24"/>
          <w:szCs w:val="24"/>
        </w:rPr>
      </w:pPr>
      <w:r>
        <w:rPr>
          <w:rFonts w:ascii="Trebuchet MS" w:hAnsi="Trebuchet MS"/>
          <w:sz w:val="24"/>
          <w:szCs w:val="24"/>
        </w:rPr>
        <w:tab/>
      </w:r>
    </w:p>
    <w:p w14:paraId="62B9FA4E" w14:textId="55EDC006" w:rsidR="00093411" w:rsidRDefault="007A424F" w:rsidP="00093411">
      <w:pPr>
        <w:jc w:val="both"/>
        <w:rPr>
          <w:rFonts w:ascii="Trebuchet MS" w:hAnsi="Trebuchet MS" w:cs="Verdana"/>
          <w:bCs/>
          <w:i/>
          <w:iCs/>
          <w:sz w:val="24"/>
          <w:szCs w:val="24"/>
        </w:rPr>
      </w:pPr>
      <w:r>
        <w:rPr>
          <w:rFonts w:ascii="Trebuchet MS" w:hAnsi="Trebuchet MS" w:cs="Verdana"/>
          <w:bCs/>
          <w:i/>
          <w:iCs/>
          <w:sz w:val="24"/>
          <w:szCs w:val="24"/>
        </w:rPr>
        <w:t xml:space="preserve">3.3 </w:t>
      </w:r>
      <w:r w:rsidR="00093411">
        <w:rPr>
          <w:rFonts w:ascii="Trebuchet MS" w:hAnsi="Trebuchet MS" w:cs="Verdana"/>
          <w:bCs/>
          <w:i/>
          <w:iCs/>
          <w:sz w:val="24"/>
          <w:szCs w:val="24"/>
        </w:rPr>
        <w:t>Centres</w:t>
      </w:r>
    </w:p>
    <w:p w14:paraId="13C4617F" w14:textId="77777777" w:rsidR="00093411" w:rsidRDefault="00093411" w:rsidP="00093411">
      <w:pPr>
        <w:jc w:val="both"/>
        <w:rPr>
          <w:rFonts w:ascii="Trebuchet MS" w:hAnsi="Trebuchet MS" w:cs="Verdana"/>
          <w:bCs/>
          <w:i/>
          <w:iCs/>
          <w:sz w:val="24"/>
          <w:szCs w:val="24"/>
        </w:rPr>
      </w:pPr>
    </w:p>
    <w:p w14:paraId="0F288372" w14:textId="5A77F2BC" w:rsidR="00093411" w:rsidRDefault="007A424F" w:rsidP="00093411">
      <w:pPr>
        <w:jc w:val="both"/>
        <w:rPr>
          <w:rFonts w:ascii="Trebuchet MS" w:hAnsi="Trebuchet MS" w:cs="Verdana"/>
          <w:bCs/>
          <w:sz w:val="24"/>
          <w:szCs w:val="24"/>
        </w:rPr>
      </w:pPr>
      <w:r>
        <w:rPr>
          <w:rFonts w:ascii="Trebuchet MS" w:hAnsi="Trebuchet MS" w:cs="Verdana"/>
          <w:bCs/>
          <w:sz w:val="24"/>
          <w:szCs w:val="24"/>
        </w:rPr>
        <w:t xml:space="preserve">3.3.1 </w:t>
      </w:r>
      <w:r w:rsidR="001B59BD">
        <w:rPr>
          <w:rFonts w:ascii="Trebuchet MS" w:hAnsi="Trebuchet MS" w:cs="Verdana"/>
          <w:bCs/>
          <w:sz w:val="24"/>
          <w:szCs w:val="24"/>
        </w:rPr>
        <w:t>T</w:t>
      </w:r>
      <w:r w:rsidR="00093411">
        <w:rPr>
          <w:rFonts w:ascii="Trebuchet MS" w:hAnsi="Trebuchet MS" w:cs="Verdana"/>
          <w:bCs/>
          <w:sz w:val="24"/>
          <w:szCs w:val="24"/>
        </w:rPr>
        <w:t xml:space="preserve">he </w:t>
      </w:r>
      <w:r w:rsidR="00E77A10">
        <w:rPr>
          <w:rFonts w:ascii="Trebuchet MS" w:hAnsi="Trebuchet MS" w:cs="Verdana"/>
          <w:bCs/>
          <w:sz w:val="24"/>
          <w:szCs w:val="24"/>
        </w:rPr>
        <w:t xml:space="preserve">last Black Country Urban Capacity </w:t>
      </w:r>
      <w:r w:rsidR="00093411">
        <w:rPr>
          <w:rFonts w:ascii="Trebuchet MS" w:hAnsi="Trebuchet MS" w:cs="Verdana"/>
          <w:bCs/>
          <w:sz w:val="24"/>
          <w:szCs w:val="24"/>
        </w:rPr>
        <w:t xml:space="preserve">report </w:t>
      </w:r>
      <w:r w:rsidR="00E77A10">
        <w:rPr>
          <w:rFonts w:ascii="Trebuchet MS" w:hAnsi="Trebuchet MS" w:cs="Verdana"/>
          <w:bCs/>
          <w:sz w:val="24"/>
          <w:szCs w:val="24"/>
        </w:rPr>
        <w:t xml:space="preserve">also </w:t>
      </w:r>
      <w:r w:rsidR="00093411">
        <w:rPr>
          <w:rFonts w:ascii="Trebuchet MS" w:hAnsi="Trebuchet MS" w:cs="Verdana"/>
          <w:bCs/>
          <w:sz w:val="24"/>
          <w:szCs w:val="24"/>
        </w:rPr>
        <w:t>consider</w:t>
      </w:r>
      <w:r w:rsidR="00E77A10">
        <w:rPr>
          <w:rFonts w:ascii="Trebuchet MS" w:hAnsi="Trebuchet MS" w:cs="Verdana"/>
          <w:bCs/>
          <w:sz w:val="24"/>
          <w:szCs w:val="24"/>
        </w:rPr>
        <w:t>ed</w:t>
      </w:r>
      <w:r w:rsidR="00093411">
        <w:rPr>
          <w:rFonts w:ascii="Trebuchet MS" w:hAnsi="Trebuchet MS" w:cs="Verdana"/>
          <w:bCs/>
          <w:sz w:val="24"/>
          <w:szCs w:val="24"/>
        </w:rPr>
        <w:t xml:space="preserve"> </w:t>
      </w:r>
      <w:r w:rsidR="00093411" w:rsidRPr="00BD5E95">
        <w:rPr>
          <w:rFonts w:ascii="Trebuchet MS" w:hAnsi="Trebuchet MS" w:cs="Verdana"/>
          <w:bCs/>
          <w:sz w:val="24"/>
          <w:szCs w:val="24"/>
        </w:rPr>
        <w:t>the four strategic centres and review</w:t>
      </w:r>
      <w:r w:rsidR="00093411">
        <w:rPr>
          <w:rFonts w:ascii="Trebuchet MS" w:hAnsi="Trebuchet MS" w:cs="Verdana"/>
          <w:bCs/>
          <w:sz w:val="24"/>
          <w:szCs w:val="24"/>
        </w:rPr>
        <w:t xml:space="preserve">s those </w:t>
      </w:r>
      <w:r w:rsidR="00093411" w:rsidRPr="00BD5E95">
        <w:rPr>
          <w:rFonts w:ascii="Trebuchet MS" w:hAnsi="Trebuchet MS" w:cs="Verdana"/>
          <w:bCs/>
          <w:sz w:val="24"/>
          <w:szCs w:val="24"/>
        </w:rPr>
        <w:t xml:space="preserve">allocations. </w:t>
      </w:r>
    </w:p>
    <w:p w14:paraId="0F36975E" w14:textId="77777777" w:rsidR="00E77A10" w:rsidRDefault="00E77A10" w:rsidP="00093411">
      <w:pPr>
        <w:jc w:val="both"/>
        <w:rPr>
          <w:rFonts w:ascii="Trebuchet MS" w:hAnsi="Trebuchet MS" w:cs="Verdana"/>
          <w:bCs/>
          <w:sz w:val="24"/>
          <w:szCs w:val="24"/>
        </w:rPr>
      </w:pPr>
    </w:p>
    <w:p w14:paraId="625B32A0" w14:textId="145FEDDC" w:rsidR="00576523" w:rsidRDefault="007A424F" w:rsidP="00093411">
      <w:pPr>
        <w:jc w:val="both"/>
        <w:rPr>
          <w:rFonts w:ascii="Trebuchet MS" w:hAnsi="Trebuchet MS" w:cs="Verdana"/>
          <w:bCs/>
          <w:sz w:val="24"/>
          <w:szCs w:val="24"/>
        </w:rPr>
      </w:pPr>
      <w:r>
        <w:rPr>
          <w:rFonts w:ascii="Trebuchet MS" w:hAnsi="Trebuchet MS" w:cs="Verdana"/>
          <w:bCs/>
          <w:sz w:val="24"/>
          <w:szCs w:val="24"/>
        </w:rPr>
        <w:t xml:space="preserve">3.3.2 </w:t>
      </w:r>
      <w:r w:rsidR="00093411">
        <w:rPr>
          <w:rFonts w:ascii="Trebuchet MS" w:hAnsi="Trebuchet MS" w:cs="Verdana"/>
          <w:bCs/>
          <w:sz w:val="24"/>
          <w:szCs w:val="24"/>
        </w:rPr>
        <w:t xml:space="preserve">8,173 homes </w:t>
      </w:r>
      <w:r w:rsidR="00E77A10">
        <w:rPr>
          <w:rFonts w:ascii="Trebuchet MS" w:hAnsi="Trebuchet MS" w:cs="Verdana"/>
          <w:bCs/>
          <w:sz w:val="24"/>
          <w:szCs w:val="24"/>
        </w:rPr>
        <w:t>we</w:t>
      </w:r>
      <w:r w:rsidR="00093411">
        <w:rPr>
          <w:rFonts w:ascii="Trebuchet MS" w:hAnsi="Trebuchet MS" w:cs="Verdana"/>
          <w:bCs/>
          <w:sz w:val="24"/>
          <w:szCs w:val="24"/>
        </w:rPr>
        <w:t xml:space="preserve">re already identified </w:t>
      </w:r>
      <w:r w:rsidR="00E77A10">
        <w:rPr>
          <w:rFonts w:ascii="Trebuchet MS" w:hAnsi="Trebuchet MS" w:cs="Verdana"/>
          <w:bCs/>
          <w:sz w:val="24"/>
          <w:szCs w:val="24"/>
        </w:rPr>
        <w:t xml:space="preserve">across the Black Country </w:t>
      </w:r>
      <w:r w:rsidR="00093411">
        <w:rPr>
          <w:rFonts w:ascii="Trebuchet MS" w:hAnsi="Trebuchet MS" w:cs="Verdana"/>
          <w:bCs/>
          <w:sz w:val="24"/>
          <w:szCs w:val="24"/>
        </w:rPr>
        <w:t>and a number of centres ha</w:t>
      </w:r>
      <w:r w:rsidR="00E77A10">
        <w:rPr>
          <w:rFonts w:ascii="Trebuchet MS" w:hAnsi="Trebuchet MS" w:cs="Verdana"/>
          <w:bCs/>
          <w:sz w:val="24"/>
          <w:szCs w:val="24"/>
        </w:rPr>
        <w:t>d</w:t>
      </w:r>
      <w:r w:rsidR="00093411">
        <w:rPr>
          <w:rFonts w:ascii="Trebuchet MS" w:hAnsi="Trebuchet MS" w:cs="Verdana"/>
          <w:bCs/>
          <w:sz w:val="24"/>
          <w:szCs w:val="24"/>
        </w:rPr>
        <w:t xml:space="preserve"> area action plans in place which </w:t>
      </w:r>
      <w:r w:rsidR="00E77A10">
        <w:rPr>
          <w:rFonts w:ascii="Trebuchet MS" w:hAnsi="Trebuchet MS" w:cs="Verdana"/>
          <w:bCs/>
          <w:sz w:val="24"/>
          <w:szCs w:val="24"/>
        </w:rPr>
        <w:t>would</w:t>
      </w:r>
      <w:r w:rsidR="00093411">
        <w:rPr>
          <w:rFonts w:ascii="Trebuchet MS" w:hAnsi="Trebuchet MS" w:cs="Verdana"/>
          <w:bCs/>
          <w:sz w:val="24"/>
          <w:szCs w:val="24"/>
        </w:rPr>
        <w:t xml:space="preserve"> expire before the end of the plan period. </w:t>
      </w:r>
    </w:p>
    <w:p w14:paraId="4B433493" w14:textId="77777777" w:rsidR="00576523" w:rsidRDefault="00576523" w:rsidP="00093411">
      <w:pPr>
        <w:jc w:val="both"/>
        <w:rPr>
          <w:rFonts w:ascii="Trebuchet MS" w:hAnsi="Trebuchet MS" w:cs="Verdana"/>
          <w:bCs/>
          <w:sz w:val="24"/>
          <w:szCs w:val="24"/>
        </w:rPr>
      </w:pPr>
    </w:p>
    <w:p w14:paraId="20476EE1" w14:textId="32C7F806" w:rsidR="00093411" w:rsidRDefault="007A424F" w:rsidP="00093411">
      <w:pPr>
        <w:jc w:val="both"/>
        <w:rPr>
          <w:rFonts w:ascii="Trebuchet MS" w:hAnsi="Trebuchet MS" w:cs="Verdana"/>
          <w:bCs/>
          <w:sz w:val="24"/>
          <w:szCs w:val="24"/>
        </w:rPr>
      </w:pPr>
      <w:r>
        <w:rPr>
          <w:rFonts w:ascii="Trebuchet MS" w:hAnsi="Trebuchet MS" w:cs="Verdana"/>
          <w:bCs/>
          <w:sz w:val="24"/>
          <w:szCs w:val="24"/>
        </w:rPr>
        <w:lastRenderedPageBreak/>
        <w:t xml:space="preserve">3.3.4 A </w:t>
      </w:r>
      <w:r w:rsidR="00093411" w:rsidRPr="00BD5E95">
        <w:rPr>
          <w:rFonts w:ascii="Trebuchet MS" w:hAnsi="Trebuchet MS" w:cs="Verdana"/>
          <w:bCs/>
          <w:sz w:val="24"/>
          <w:szCs w:val="24"/>
        </w:rPr>
        <w:t>further 1,</w:t>
      </w:r>
      <w:r w:rsidR="00093411">
        <w:rPr>
          <w:rFonts w:ascii="Trebuchet MS" w:hAnsi="Trebuchet MS" w:cs="Verdana"/>
          <w:bCs/>
          <w:sz w:val="24"/>
          <w:szCs w:val="24"/>
        </w:rPr>
        <w:t>3</w:t>
      </w:r>
      <w:r w:rsidR="00093411" w:rsidRPr="00BD5E95">
        <w:rPr>
          <w:rFonts w:ascii="Trebuchet MS" w:hAnsi="Trebuchet MS" w:cs="Verdana"/>
          <w:bCs/>
          <w:sz w:val="24"/>
          <w:szCs w:val="24"/>
        </w:rPr>
        <w:t xml:space="preserve">00 houses </w:t>
      </w:r>
      <w:r w:rsidR="00E77A10">
        <w:rPr>
          <w:rFonts w:ascii="Trebuchet MS" w:hAnsi="Trebuchet MS" w:cs="Verdana"/>
          <w:bCs/>
          <w:sz w:val="24"/>
          <w:szCs w:val="24"/>
        </w:rPr>
        <w:t>w</w:t>
      </w:r>
      <w:r w:rsidR="000B7AA6">
        <w:rPr>
          <w:rFonts w:ascii="Trebuchet MS" w:hAnsi="Trebuchet MS" w:cs="Verdana"/>
          <w:bCs/>
          <w:sz w:val="24"/>
          <w:szCs w:val="24"/>
        </w:rPr>
        <w:t>ere</w:t>
      </w:r>
      <w:r w:rsidR="00093411">
        <w:rPr>
          <w:rFonts w:ascii="Trebuchet MS" w:hAnsi="Trebuchet MS" w:cs="Verdana"/>
          <w:bCs/>
          <w:sz w:val="24"/>
          <w:szCs w:val="24"/>
        </w:rPr>
        <w:t xml:space="preserve"> identified as potentially </w:t>
      </w:r>
      <w:r w:rsidR="00093411" w:rsidRPr="00BD5E95">
        <w:rPr>
          <w:rFonts w:ascii="Trebuchet MS" w:hAnsi="Trebuchet MS" w:cs="Verdana"/>
          <w:bCs/>
          <w:sz w:val="24"/>
          <w:szCs w:val="24"/>
        </w:rPr>
        <w:t>com</w:t>
      </w:r>
      <w:r w:rsidR="00093411">
        <w:rPr>
          <w:rFonts w:ascii="Trebuchet MS" w:hAnsi="Trebuchet MS" w:cs="Verdana"/>
          <w:bCs/>
          <w:sz w:val="24"/>
          <w:szCs w:val="24"/>
        </w:rPr>
        <w:t>ing</w:t>
      </w:r>
      <w:r w:rsidR="00093411" w:rsidRPr="00BD5E95">
        <w:rPr>
          <w:rFonts w:ascii="Trebuchet MS" w:hAnsi="Trebuchet MS" w:cs="Verdana"/>
          <w:bCs/>
          <w:sz w:val="24"/>
          <w:szCs w:val="24"/>
        </w:rPr>
        <w:t xml:space="preserve"> from this source</w:t>
      </w:r>
      <w:r w:rsidR="00093411">
        <w:rPr>
          <w:rFonts w:ascii="Trebuchet MS" w:hAnsi="Trebuchet MS" w:cs="Verdana"/>
          <w:bCs/>
          <w:sz w:val="24"/>
          <w:szCs w:val="24"/>
        </w:rPr>
        <w:t xml:space="preserve">, with a significant uplift, although Walsall which </w:t>
      </w:r>
      <w:r w:rsidR="00E77A10">
        <w:rPr>
          <w:rFonts w:ascii="Trebuchet MS" w:hAnsi="Trebuchet MS" w:cs="Verdana"/>
          <w:bCs/>
          <w:sz w:val="24"/>
          <w:szCs w:val="24"/>
        </w:rPr>
        <w:t xml:space="preserve">had </w:t>
      </w:r>
      <w:r w:rsidR="00093411">
        <w:rPr>
          <w:rFonts w:ascii="Trebuchet MS" w:hAnsi="Trebuchet MS" w:cs="Verdana"/>
          <w:bCs/>
          <w:sz w:val="24"/>
          <w:szCs w:val="24"/>
        </w:rPr>
        <w:t>recently adopted its Town Centre AAP d</w:t>
      </w:r>
      <w:r w:rsidR="00E77A10">
        <w:rPr>
          <w:rFonts w:ascii="Trebuchet MS" w:hAnsi="Trebuchet MS" w:cs="Verdana"/>
          <w:bCs/>
          <w:sz w:val="24"/>
          <w:szCs w:val="24"/>
        </w:rPr>
        <w:t>id</w:t>
      </w:r>
      <w:r w:rsidR="00093411">
        <w:rPr>
          <w:rFonts w:ascii="Trebuchet MS" w:hAnsi="Trebuchet MS" w:cs="Verdana"/>
          <w:bCs/>
          <w:sz w:val="24"/>
          <w:szCs w:val="24"/>
        </w:rPr>
        <w:t xml:space="preserve"> not identify any additional supply, </w:t>
      </w:r>
      <w:r w:rsidR="00576523">
        <w:rPr>
          <w:rFonts w:ascii="Trebuchet MS" w:hAnsi="Trebuchet MS" w:cs="Verdana"/>
          <w:bCs/>
          <w:sz w:val="24"/>
          <w:szCs w:val="24"/>
        </w:rPr>
        <w:t xml:space="preserve">something which </w:t>
      </w:r>
      <w:r w:rsidR="00093411">
        <w:rPr>
          <w:rFonts w:ascii="Trebuchet MS" w:hAnsi="Trebuchet MS" w:cs="Verdana"/>
          <w:bCs/>
          <w:sz w:val="24"/>
          <w:szCs w:val="24"/>
        </w:rPr>
        <w:t xml:space="preserve">clearly may need to be reviewed in the light of post-COVID retail contraction. Moreover, </w:t>
      </w:r>
      <w:r w:rsidR="00E77A10">
        <w:rPr>
          <w:rFonts w:ascii="Trebuchet MS" w:hAnsi="Trebuchet MS" w:cs="Verdana"/>
          <w:bCs/>
          <w:sz w:val="24"/>
          <w:szCs w:val="24"/>
        </w:rPr>
        <w:t xml:space="preserve">it was clear that </w:t>
      </w:r>
      <w:r w:rsidR="00093411">
        <w:rPr>
          <w:rFonts w:ascii="Trebuchet MS" w:hAnsi="Trebuchet MS" w:cs="Verdana"/>
          <w:bCs/>
          <w:sz w:val="24"/>
          <w:szCs w:val="24"/>
        </w:rPr>
        <w:t>other smaller centres in Walsall (and the other three boroughs) m</w:t>
      </w:r>
      <w:r w:rsidR="00576523">
        <w:rPr>
          <w:rFonts w:ascii="Trebuchet MS" w:hAnsi="Trebuchet MS" w:cs="Verdana"/>
          <w:bCs/>
          <w:sz w:val="24"/>
          <w:szCs w:val="24"/>
        </w:rPr>
        <w:t>ight</w:t>
      </w:r>
      <w:r w:rsidR="00093411">
        <w:rPr>
          <w:rFonts w:ascii="Trebuchet MS" w:hAnsi="Trebuchet MS" w:cs="Verdana"/>
          <w:bCs/>
          <w:sz w:val="24"/>
          <w:szCs w:val="24"/>
        </w:rPr>
        <w:t xml:space="preserve"> also contribute to housing supply.</w:t>
      </w:r>
      <w:r w:rsidR="00093411">
        <w:rPr>
          <w:rStyle w:val="FootnoteReference"/>
          <w:rFonts w:ascii="Trebuchet MS" w:hAnsi="Trebuchet MS" w:cs="Verdana"/>
          <w:bCs/>
          <w:sz w:val="24"/>
          <w:szCs w:val="24"/>
        </w:rPr>
        <w:footnoteReference w:id="4"/>
      </w:r>
    </w:p>
    <w:p w14:paraId="6F7565A2" w14:textId="77777777" w:rsidR="00093411" w:rsidRPr="00746A38" w:rsidRDefault="00093411" w:rsidP="00093411">
      <w:pPr>
        <w:jc w:val="both"/>
        <w:rPr>
          <w:rFonts w:ascii="Trebuchet MS" w:hAnsi="Trebuchet MS" w:cs="Verdana"/>
          <w:bCs/>
          <w:sz w:val="24"/>
          <w:szCs w:val="24"/>
        </w:rPr>
      </w:pPr>
    </w:p>
    <w:p w14:paraId="6D28D18D" w14:textId="58EB950D" w:rsidR="00E77A10" w:rsidRDefault="007A424F" w:rsidP="00093411">
      <w:pPr>
        <w:jc w:val="both"/>
        <w:rPr>
          <w:rFonts w:ascii="Trebuchet MS" w:hAnsi="Trebuchet MS"/>
          <w:sz w:val="24"/>
          <w:szCs w:val="24"/>
        </w:rPr>
      </w:pPr>
      <w:r>
        <w:rPr>
          <w:rFonts w:ascii="Trebuchet MS" w:hAnsi="Trebuchet MS"/>
          <w:sz w:val="24"/>
          <w:szCs w:val="24"/>
        </w:rPr>
        <w:t xml:space="preserve">3.3.5 </w:t>
      </w:r>
      <w:r w:rsidR="00E77A10">
        <w:rPr>
          <w:rFonts w:ascii="Trebuchet MS" w:hAnsi="Trebuchet MS"/>
          <w:sz w:val="24"/>
          <w:szCs w:val="24"/>
        </w:rPr>
        <w:t xml:space="preserve">The Chilmark Black Country report </w:t>
      </w:r>
      <w:r w:rsidR="00FB77D7">
        <w:rPr>
          <w:rFonts w:ascii="Trebuchet MS" w:hAnsi="Trebuchet MS"/>
          <w:sz w:val="24"/>
          <w:szCs w:val="24"/>
        </w:rPr>
        <w:t xml:space="preserve">(for the Combined Authority) </w:t>
      </w:r>
      <w:r w:rsidR="00E77A10">
        <w:rPr>
          <w:rFonts w:ascii="Trebuchet MS" w:hAnsi="Trebuchet MS"/>
          <w:sz w:val="24"/>
          <w:szCs w:val="24"/>
        </w:rPr>
        <w:t xml:space="preserve">on Brownfield housing supply </w:t>
      </w:r>
      <w:r w:rsidR="00424C1F">
        <w:rPr>
          <w:rFonts w:ascii="Trebuchet MS" w:hAnsi="Trebuchet MS"/>
          <w:sz w:val="24"/>
          <w:szCs w:val="24"/>
        </w:rPr>
        <w:t xml:space="preserve">(March 2022) </w:t>
      </w:r>
      <w:r w:rsidR="00E77A10">
        <w:rPr>
          <w:rFonts w:ascii="Trebuchet MS" w:hAnsi="Trebuchet MS"/>
          <w:sz w:val="24"/>
          <w:szCs w:val="24"/>
        </w:rPr>
        <w:t xml:space="preserve">suggested </w:t>
      </w:r>
      <w:r w:rsidR="00576523">
        <w:rPr>
          <w:rFonts w:ascii="Trebuchet MS" w:hAnsi="Trebuchet MS"/>
          <w:sz w:val="24"/>
          <w:szCs w:val="24"/>
        </w:rPr>
        <w:t xml:space="preserve">town centres </w:t>
      </w:r>
      <w:r w:rsidR="00E77A10">
        <w:rPr>
          <w:rFonts w:ascii="Trebuchet MS" w:hAnsi="Trebuchet MS"/>
          <w:sz w:val="24"/>
          <w:szCs w:val="24"/>
        </w:rPr>
        <w:t xml:space="preserve">could </w:t>
      </w:r>
      <w:r w:rsidR="00576523">
        <w:rPr>
          <w:rFonts w:ascii="Trebuchet MS" w:hAnsi="Trebuchet MS"/>
          <w:sz w:val="24"/>
          <w:szCs w:val="24"/>
        </w:rPr>
        <w:t xml:space="preserve">provide a </w:t>
      </w:r>
      <w:r w:rsidR="00E77A10">
        <w:rPr>
          <w:rFonts w:ascii="Trebuchet MS" w:hAnsi="Trebuchet MS"/>
          <w:sz w:val="24"/>
          <w:szCs w:val="24"/>
        </w:rPr>
        <w:t>substantial additiona</w:t>
      </w:r>
      <w:r w:rsidR="00424C1F">
        <w:rPr>
          <w:rFonts w:ascii="Trebuchet MS" w:hAnsi="Trebuchet MS"/>
          <w:sz w:val="24"/>
          <w:szCs w:val="24"/>
        </w:rPr>
        <w:t>l</w:t>
      </w:r>
      <w:r w:rsidR="00E77A10">
        <w:rPr>
          <w:rFonts w:ascii="Trebuchet MS" w:hAnsi="Trebuchet MS"/>
          <w:sz w:val="24"/>
          <w:szCs w:val="24"/>
        </w:rPr>
        <w:t xml:space="preserve"> housing </w:t>
      </w:r>
      <w:r w:rsidR="00576523">
        <w:rPr>
          <w:rFonts w:ascii="Trebuchet MS" w:hAnsi="Trebuchet MS"/>
          <w:sz w:val="24"/>
          <w:szCs w:val="24"/>
        </w:rPr>
        <w:t xml:space="preserve">supply </w:t>
      </w:r>
      <w:r w:rsidR="00E77A10">
        <w:rPr>
          <w:rFonts w:ascii="Trebuchet MS" w:hAnsi="Trebuchet MS"/>
          <w:sz w:val="24"/>
          <w:szCs w:val="24"/>
        </w:rPr>
        <w:t>and specifically identified a potential for 1</w:t>
      </w:r>
      <w:r w:rsidR="00FB77D7">
        <w:rPr>
          <w:rFonts w:ascii="Trebuchet MS" w:hAnsi="Trebuchet MS"/>
          <w:sz w:val="24"/>
          <w:szCs w:val="24"/>
        </w:rPr>
        <w:t>,</w:t>
      </w:r>
      <w:r w:rsidR="00E77A10">
        <w:rPr>
          <w:rFonts w:ascii="Trebuchet MS" w:hAnsi="Trebuchet MS"/>
          <w:sz w:val="24"/>
          <w:szCs w:val="24"/>
        </w:rPr>
        <w:t xml:space="preserve">009 additional homes in Sandwell’s Tier 1 centre, West Bromwich (discounted to 910) </w:t>
      </w:r>
      <w:r w:rsidR="00576523">
        <w:rPr>
          <w:rFonts w:ascii="Trebuchet MS" w:hAnsi="Trebuchet MS"/>
          <w:sz w:val="24"/>
          <w:szCs w:val="24"/>
        </w:rPr>
        <w:t xml:space="preserve">and also </w:t>
      </w:r>
      <w:r w:rsidR="00E77A10">
        <w:rPr>
          <w:rFonts w:ascii="Trebuchet MS" w:hAnsi="Trebuchet MS"/>
          <w:sz w:val="24"/>
          <w:szCs w:val="24"/>
        </w:rPr>
        <w:t>suggested th</w:t>
      </w:r>
      <w:r w:rsidR="00576523">
        <w:rPr>
          <w:rFonts w:ascii="Trebuchet MS" w:hAnsi="Trebuchet MS"/>
          <w:sz w:val="24"/>
          <w:szCs w:val="24"/>
        </w:rPr>
        <w:t>at</w:t>
      </w:r>
      <w:r w:rsidR="00E77A10">
        <w:rPr>
          <w:rFonts w:ascii="Trebuchet MS" w:hAnsi="Trebuchet MS"/>
          <w:sz w:val="24"/>
          <w:szCs w:val="24"/>
        </w:rPr>
        <w:t xml:space="preserve"> could in fact be higher. They also considered that other </w:t>
      </w:r>
      <w:r w:rsidR="00576523">
        <w:rPr>
          <w:rFonts w:ascii="Trebuchet MS" w:hAnsi="Trebuchet MS"/>
          <w:sz w:val="24"/>
          <w:szCs w:val="24"/>
        </w:rPr>
        <w:t xml:space="preserve">Black Country </w:t>
      </w:r>
      <w:r w:rsidR="00E77A10">
        <w:rPr>
          <w:rFonts w:ascii="Trebuchet MS" w:hAnsi="Trebuchet MS"/>
          <w:sz w:val="24"/>
          <w:szCs w:val="24"/>
        </w:rPr>
        <w:t xml:space="preserve">‘Tier 2’ centres could also increase their housing contribution, although the example they chose was Willenhall, </w:t>
      </w:r>
      <w:r w:rsidR="00576523">
        <w:rPr>
          <w:rFonts w:ascii="Trebuchet MS" w:hAnsi="Trebuchet MS"/>
          <w:sz w:val="24"/>
          <w:szCs w:val="24"/>
        </w:rPr>
        <w:t xml:space="preserve">which is </w:t>
      </w:r>
      <w:r w:rsidR="00E77A10">
        <w:rPr>
          <w:rFonts w:ascii="Trebuchet MS" w:hAnsi="Trebuchet MS"/>
          <w:sz w:val="24"/>
          <w:szCs w:val="24"/>
        </w:rPr>
        <w:t>not in Sandwell.</w:t>
      </w:r>
    </w:p>
    <w:p w14:paraId="4BF65209" w14:textId="77777777" w:rsidR="00E77A10" w:rsidRDefault="00E77A10" w:rsidP="00093411">
      <w:pPr>
        <w:jc w:val="both"/>
        <w:rPr>
          <w:rFonts w:ascii="Trebuchet MS" w:hAnsi="Trebuchet MS"/>
          <w:sz w:val="24"/>
          <w:szCs w:val="24"/>
        </w:rPr>
      </w:pPr>
    </w:p>
    <w:p w14:paraId="6E91863A" w14:textId="39D4595D" w:rsidR="00E77A10" w:rsidRDefault="007A424F" w:rsidP="00093411">
      <w:pPr>
        <w:jc w:val="both"/>
        <w:rPr>
          <w:rFonts w:ascii="Trebuchet MS" w:hAnsi="Trebuchet MS"/>
          <w:sz w:val="24"/>
          <w:szCs w:val="24"/>
        </w:rPr>
      </w:pPr>
      <w:r>
        <w:rPr>
          <w:rFonts w:ascii="Trebuchet MS" w:hAnsi="Trebuchet MS"/>
          <w:sz w:val="24"/>
          <w:szCs w:val="24"/>
        </w:rPr>
        <w:t xml:space="preserve">3.3.6 </w:t>
      </w:r>
      <w:r w:rsidR="00E77A10">
        <w:rPr>
          <w:rFonts w:ascii="Trebuchet MS" w:hAnsi="Trebuchet MS"/>
          <w:sz w:val="24"/>
          <w:szCs w:val="24"/>
        </w:rPr>
        <w:t>Additionally</w:t>
      </w:r>
      <w:r w:rsidR="00424C1F">
        <w:rPr>
          <w:rFonts w:ascii="Trebuchet MS" w:hAnsi="Trebuchet MS"/>
          <w:sz w:val="24"/>
          <w:szCs w:val="24"/>
        </w:rPr>
        <w:t>,</w:t>
      </w:r>
      <w:r w:rsidR="00E77A10">
        <w:rPr>
          <w:rFonts w:ascii="Trebuchet MS" w:hAnsi="Trebuchet MS"/>
          <w:sz w:val="24"/>
          <w:szCs w:val="24"/>
        </w:rPr>
        <w:t xml:space="preserve"> they pointed to Wolverhampton’s allowance for housing over shops of 812 and suggested this might be a further significant source elsewhere</w:t>
      </w:r>
      <w:r w:rsidR="00576523">
        <w:rPr>
          <w:rFonts w:ascii="Trebuchet MS" w:hAnsi="Trebuchet MS"/>
          <w:sz w:val="24"/>
          <w:szCs w:val="24"/>
        </w:rPr>
        <w:t xml:space="preserve"> in the Black Country</w:t>
      </w:r>
      <w:r w:rsidR="00E77A10">
        <w:rPr>
          <w:rFonts w:ascii="Trebuchet MS" w:hAnsi="Trebuchet MS"/>
          <w:sz w:val="24"/>
          <w:szCs w:val="24"/>
        </w:rPr>
        <w:t>.</w:t>
      </w:r>
    </w:p>
    <w:p w14:paraId="74C08FA4" w14:textId="77777777" w:rsidR="00424C1F" w:rsidRDefault="00424C1F" w:rsidP="00093411">
      <w:pPr>
        <w:jc w:val="both"/>
        <w:rPr>
          <w:rFonts w:ascii="Trebuchet MS" w:hAnsi="Trebuchet MS"/>
          <w:sz w:val="24"/>
          <w:szCs w:val="24"/>
        </w:rPr>
      </w:pPr>
    </w:p>
    <w:p w14:paraId="10AE80AF" w14:textId="50DEC8A0" w:rsidR="00424C1F" w:rsidRDefault="007A424F" w:rsidP="00093411">
      <w:pPr>
        <w:jc w:val="both"/>
        <w:rPr>
          <w:rFonts w:ascii="Trebuchet MS" w:hAnsi="Trebuchet MS"/>
          <w:sz w:val="24"/>
          <w:szCs w:val="24"/>
        </w:rPr>
      </w:pPr>
      <w:r>
        <w:rPr>
          <w:rFonts w:ascii="Trebuchet MS" w:hAnsi="Trebuchet MS"/>
          <w:sz w:val="24"/>
          <w:szCs w:val="24"/>
        </w:rPr>
        <w:t xml:space="preserve">3.3.7 </w:t>
      </w:r>
      <w:r w:rsidR="00424C1F">
        <w:rPr>
          <w:rFonts w:ascii="Trebuchet MS" w:hAnsi="Trebuchet MS"/>
          <w:sz w:val="24"/>
          <w:szCs w:val="24"/>
        </w:rPr>
        <w:t>The Sandwell SHLAA seeks to address the issue of housing in centres by assessing current vacant space in West Bromwich and then considering how much to that might come forward as housing</w:t>
      </w:r>
      <w:r w:rsidR="00A1592D">
        <w:rPr>
          <w:rFonts w:ascii="Trebuchet MS" w:hAnsi="Trebuchet MS"/>
          <w:sz w:val="24"/>
          <w:szCs w:val="24"/>
        </w:rPr>
        <w:t xml:space="preserve">. It </w:t>
      </w:r>
      <w:r w:rsidR="00424C1F">
        <w:rPr>
          <w:rFonts w:ascii="Trebuchet MS" w:hAnsi="Trebuchet MS"/>
          <w:sz w:val="24"/>
          <w:szCs w:val="24"/>
        </w:rPr>
        <w:t xml:space="preserve">concludes only 16 additional units would be provided between 2027 and 2041. A similar process for Tier 2 centres yielded 95 units and 108 in Tier 2 centres, totaling all-together 219 units. </w:t>
      </w:r>
    </w:p>
    <w:p w14:paraId="255E05F2" w14:textId="77777777" w:rsidR="00424C1F" w:rsidRDefault="00424C1F" w:rsidP="00093411">
      <w:pPr>
        <w:jc w:val="both"/>
        <w:rPr>
          <w:rFonts w:ascii="Trebuchet MS" w:hAnsi="Trebuchet MS"/>
          <w:sz w:val="24"/>
          <w:szCs w:val="24"/>
        </w:rPr>
      </w:pPr>
    </w:p>
    <w:p w14:paraId="00F6DCE4" w14:textId="77777777" w:rsidR="000B7AA6" w:rsidRDefault="007A424F" w:rsidP="00093411">
      <w:pPr>
        <w:jc w:val="both"/>
        <w:rPr>
          <w:rFonts w:ascii="Trebuchet MS" w:hAnsi="Trebuchet MS"/>
          <w:sz w:val="24"/>
          <w:szCs w:val="24"/>
        </w:rPr>
      </w:pPr>
      <w:r>
        <w:rPr>
          <w:rFonts w:ascii="Trebuchet MS" w:hAnsi="Trebuchet MS"/>
          <w:sz w:val="24"/>
          <w:szCs w:val="24"/>
        </w:rPr>
        <w:t xml:space="preserve">3.3.8 </w:t>
      </w:r>
      <w:r w:rsidR="00424C1F">
        <w:rPr>
          <w:rFonts w:ascii="Trebuchet MS" w:hAnsi="Trebuchet MS"/>
          <w:sz w:val="24"/>
          <w:szCs w:val="24"/>
        </w:rPr>
        <w:t xml:space="preserve">This figure is a very long way from the Chilmark results and there is no commentary to address why the conclusions are so different. </w:t>
      </w:r>
    </w:p>
    <w:p w14:paraId="16E75D49" w14:textId="77777777" w:rsidR="000B7AA6" w:rsidRDefault="000B7AA6" w:rsidP="00093411">
      <w:pPr>
        <w:jc w:val="both"/>
        <w:rPr>
          <w:rFonts w:ascii="Trebuchet MS" w:hAnsi="Trebuchet MS"/>
          <w:sz w:val="24"/>
          <w:szCs w:val="24"/>
        </w:rPr>
      </w:pPr>
    </w:p>
    <w:p w14:paraId="3D46082A" w14:textId="2C95E96C" w:rsidR="00424C1F" w:rsidRDefault="000B7AA6" w:rsidP="00093411">
      <w:pPr>
        <w:jc w:val="both"/>
        <w:rPr>
          <w:rFonts w:ascii="Trebuchet MS" w:hAnsi="Trebuchet MS"/>
          <w:sz w:val="24"/>
          <w:szCs w:val="24"/>
        </w:rPr>
      </w:pPr>
      <w:r>
        <w:rPr>
          <w:rFonts w:ascii="Trebuchet MS" w:hAnsi="Trebuchet MS"/>
          <w:sz w:val="24"/>
          <w:szCs w:val="24"/>
        </w:rPr>
        <w:t xml:space="preserve">3.3.9 </w:t>
      </w:r>
      <w:r w:rsidR="00A1592D">
        <w:rPr>
          <w:rFonts w:ascii="Trebuchet MS" w:hAnsi="Trebuchet MS"/>
          <w:sz w:val="24"/>
          <w:szCs w:val="24"/>
        </w:rPr>
        <w:t>However, i</w:t>
      </w:r>
      <w:r w:rsidR="00424C1F">
        <w:rPr>
          <w:rFonts w:ascii="Trebuchet MS" w:hAnsi="Trebuchet MS"/>
          <w:sz w:val="24"/>
          <w:szCs w:val="24"/>
        </w:rPr>
        <w:t xml:space="preserve">t seems to me that the approach of the SHLAA </w:t>
      </w:r>
      <w:r w:rsidR="00C71310">
        <w:rPr>
          <w:rFonts w:ascii="Trebuchet MS" w:hAnsi="Trebuchet MS"/>
          <w:sz w:val="24"/>
          <w:szCs w:val="24"/>
        </w:rPr>
        <w:t xml:space="preserve">may be </w:t>
      </w:r>
      <w:r w:rsidR="00424C1F">
        <w:rPr>
          <w:rFonts w:ascii="Trebuchet MS" w:hAnsi="Trebuchet MS"/>
          <w:sz w:val="24"/>
          <w:szCs w:val="24"/>
        </w:rPr>
        <w:t xml:space="preserve">overly conservative and that the likely houses from change of use, mixed use and upper stories conversions is likely to significantly exceed the </w:t>
      </w:r>
      <w:r w:rsidR="00DF7708">
        <w:rPr>
          <w:rFonts w:ascii="Trebuchet MS" w:hAnsi="Trebuchet MS"/>
          <w:sz w:val="24"/>
          <w:szCs w:val="24"/>
        </w:rPr>
        <w:t xml:space="preserve">current </w:t>
      </w:r>
      <w:r>
        <w:rPr>
          <w:rFonts w:ascii="Trebuchet MS" w:hAnsi="Trebuchet MS"/>
          <w:sz w:val="24"/>
          <w:szCs w:val="24"/>
        </w:rPr>
        <w:t xml:space="preserve">vacant space, </w:t>
      </w:r>
      <w:r w:rsidR="00DF7708">
        <w:rPr>
          <w:rFonts w:ascii="Trebuchet MS" w:hAnsi="Trebuchet MS"/>
          <w:sz w:val="24"/>
          <w:szCs w:val="24"/>
        </w:rPr>
        <w:t>especially if the Council proactively addresses issues such as long</w:t>
      </w:r>
      <w:r w:rsidR="00C71310">
        <w:rPr>
          <w:rFonts w:ascii="Trebuchet MS" w:hAnsi="Trebuchet MS"/>
          <w:sz w:val="24"/>
          <w:szCs w:val="24"/>
        </w:rPr>
        <w:t>-</w:t>
      </w:r>
      <w:r w:rsidR="00DF7708">
        <w:rPr>
          <w:rFonts w:ascii="Trebuchet MS" w:hAnsi="Trebuchet MS"/>
          <w:sz w:val="24"/>
          <w:szCs w:val="24"/>
        </w:rPr>
        <w:t xml:space="preserve">term </w:t>
      </w:r>
      <w:r>
        <w:rPr>
          <w:rFonts w:ascii="Trebuchet MS" w:hAnsi="Trebuchet MS"/>
          <w:sz w:val="24"/>
          <w:szCs w:val="24"/>
        </w:rPr>
        <w:t xml:space="preserve">and newly-arising </w:t>
      </w:r>
      <w:r w:rsidR="00DF7708">
        <w:rPr>
          <w:rFonts w:ascii="Trebuchet MS" w:hAnsi="Trebuchet MS"/>
          <w:sz w:val="24"/>
          <w:szCs w:val="24"/>
        </w:rPr>
        <w:t>vacancy.</w:t>
      </w:r>
    </w:p>
    <w:p w14:paraId="7573B83A" w14:textId="77777777" w:rsidR="00424C1F" w:rsidRDefault="00424C1F" w:rsidP="00093411">
      <w:pPr>
        <w:jc w:val="both"/>
        <w:rPr>
          <w:rFonts w:ascii="Trebuchet MS" w:hAnsi="Trebuchet MS"/>
          <w:sz w:val="24"/>
          <w:szCs w:val="24"/>
        </w:rPr>
      </w:pPr>
    </w:p>
    <w:p w14:paraId="00E968E7" w14:textId="2C93574F" w:rsidR="00DF7708" w:rsidRDefault="007A424F" w:rsidP="00DF7708">
      <w:pPr>
        <w:jc w:val="both"/>
        <w:rPr>
          <w:rFonts w:ascii="Trebuchet MS" w:hAnsi="Trebuchet MS"/>
          <w:sz w:val="24"/>
          <w:szCs w:val="24"/>
        </w:rPr>
      </w:pPr>
      <w:r>
        <w:rPr>
          <w:rFonts w:ascii="Trebuchet MS" w:hAnsi="Trebuchet MS"/>
          <w:sz w:val="24"/>
          <w:szCs w:val="24"/>
        </w:rPr>
        <w:t>3.3.</w:t>
      </w:r>
      <w:r w:rsidR="000B7AA6">
        <w:rPr>
          <w:rFonts w:ascii="Trebuchet MS" w:hAnsi="Trebuchet MS"/>
          <w:sz w:val="24"/>
          <w:szCs w:val="24"/>
        </w:rPr>
        <w:t>10</w:t>
      </w:r>
      <w:r>
        <w:rPr>
          <w:rFonts w:ascii="Trebuchet MS" w:hAnsi="Trebuchet MS"/>
          <w:sz w:val="24"/>
          <w:szCs w:val="24"/>
        </w:rPr>
        <w:t xml:space="preserve"> </w:t>
      </w:r>
      <w:r w:rsidR="00DF7708">
        <w:rPr>
          <w:rFonts w:ascii="Trebuchet MS" w:hAnsi="Trebuchet MS"/>
          <w:sz w:val="24"/>
          <w:szCs w:val="24"/>
        </w:rPr>
        <w:t>Again, t</w:t>
      </w:r>
      <w:r w:rsidR="00DF7708" w:rsidRPr="00E77A10">
        <w:rPr>
          <w:rFonts w:ascii="Trebuchet MS" w:hAnsi="Trebuchet MS"/>
          <w:sz w:val="24"/>
          <w:szCs w:val="24"/>
        </w:rPr>
        <w:t xml:space="preserve">his </w:t>
      </w:r>
      <w:r w:rsidR="00DF7708">
        <w:rPr>
          <w:rFonts w:ascii="Trebuchet MS" w:hAnsi="Trebuchet MS"/>
          <w:sz w:val="24"/>
          <w:szCs w:val="24"/>
        </w:rPr>
        <w:t xml:space="preserve">seems </w:t>
      </w:r>
      <w:r w:rsidR="00DF7708" w:rsidRPr="00E77A10">
        <w:rPr>
          <w:rFonts w:ascii="Trebuchet MS" w:hAnsi="Trebuchet MS"/>
          <w:sz w:val="24"/>
          <w:szCs w:val="24"/>
        </w:rPr>
        <w:t>such a large potential source of supply</w:t>
      </w:r>
      <w:r w:rsidR="00DF7708">
        <w:rPr>
          <w:rFonts w:ascii="Trebuchet MS" w:hAnsi="Trebuchet MS"/>
          <w:sz w:val="24"/>
          <w:szCs w:val="24"/>
        </w:rPr>
        <w:t xml:space="preserve"> the correct policy a</w:t>
      </w:r>
      <w:r w:rsidR="00DF7708" w:rsidRPr="00A775D7">
        <w:rPr>
          <w:rFonts w:ascii="Trebuchet MS" w:hAnsi="Trebuchet MS"/>
          <w:sz w:val="24"/>
          <w:szCs w:val="24"/>
        </w:rPr>
        <w:t xml:space="preserve">pproach </w:t>
      </w:r>
      <w:r w:rsidR="00DF7708">
        <w:rPr>
          <w:rFonts w:ascii="Trebuchet MS" w:hAnsi="Trebuchet MS"/>
          <w:sz w:val="24"/>
          <w:szCs w:val="24"/>
        </w:rPr>
        <w:t xml:space="preserve">to me </w:t>
      </w:r>
      <w:r w:rsidR="000B7AA6">
        <w:rPr>
          <w:rFonts w:ascii="Trebuchet MS" w:hAnsi="Trebuchet MS"/>
          <w:sz w:val="24"/>
          <w:szCs w:val="24"/>
        </w:rPr>
        <w:t xml:space="preserve">would be </w:t>
      </w:r>
      <w:r w:rsidR="00DF7708" w:rsidRPr="00A775D7">
        <w:rPr>
          <w:rFonts w:ascii="Trebuchet MS" w:hAnsi="Trebuchet MS"/>
          <w:sz w:val="24"/>
          <w:szCs w:val="24"/>
        </w:rPr>
        <w:t xml:space="preserve">to allow for </w:t>
      </w:r>
      <w:r w:rsidR="00DF7708">
        <w:rPr>
          <w:rFonts w:ascii="Trebuchet MS" w:hAnsi="Trebuchet MS"/>
          <w:sz w:val="24"/>
          <w:szCs w:val="24"/>
        </w:rPr>
        <w:t xml:space="preserve">upper storey conversions, as Wolverhampton has one, and also allow for </w:t>
      </w:r>
      <w:r w:rsidR="00DF7708" w:rsidRPr="00A775D7">
        <w:rPr>
          <w:rFonts w:ascii="Trebuchet MS" w:hAnsi="Trebuchet MS"/>
          <w:sz w:val="24"/>
          <w:szCs w:val="24"/>
        </w:rPr>
        <w:t>larger windfall</w:t>
      </w:r>
      <w:r w:rsidR="00DF7708">
        <w:rPr>
          <w:rFonts w:ascii="Trebuchet MS" w:hAnsi="Trebuchet MS"/>
          <w:sz w:val="24"/>
          <w:szCs w:val="24"/>
        </w:rPr>
        <w:t xml:space="preserve"> (as I discuss further on) using this as part of the evidence base to justify the approach.</w:t>
      </w:r>
    </w:p>
    <w:p w14:paraId="7A940C1A" w14:textId="77777777" w:rsidR="001B59BD" w:rsidRDefault="001B59BD" w:rsidP="00226AA7">
      <w:pPr>
        <w:jc w:val="both"/>
        <w:rPr>
          <w:rFonts w:ascii="Trebuchet MS" w:hAnsi="Trebuchet MS"/>
          <w:i/>
          <w:iCs/>
          <w:sz w:val="24"/>
          <w:szCs w:val="24"/>
        </w:rPr>
      </w:pPr>
    </w:p>
    <w:p w14:paraId="2EF31659" w14:textId="68E6CF81" w:rsidR="005C3D61" w:rsidRPr="000A5D5C" w:rsidRDefault="007A424F" w:rsidP="00226AA7">
      <w:pPr>
        <w:jc w:val="both"/>
        <w:rPr>
          <w:rFonts w:ascii="Trebuchet MS" w:hAnsi="Trebuchet MS"/>
          <w:i/>
          <w:iCs/>
          <w:sz w:val="24"/>
          <w:szCs w:val="24"/>
        </w:rPr>
      </w:pPr>
      <w:r>
        <w:rPr>
          <w:rFonts w:ascii="Trebuchet MS" w:hAnsi="Trebuchet MS"/>
          <w:i/>
          <w:iCs/>
          <w:sz w:val="24"/>
          <w:szCs w:val="24"/>
        </w:rPr>
        <w:t xml:space="preserve">3.4 </w:t>
      </w:r>
      <w:r w:rsidR="005C3D61" w:rsidRPr="000A5D5C">
        <w:rPr>
          <w:rFonts w:ascii="Trebuchet MS" w:hAnsi="Trebuchet MS"/>
          <w:i/>
          <w:iCs/>
          <w:sz w:val="24"/>
          <w:szCs w:val="24"/>
        </w:rPr>
        <w:t>Windfalls</w:t>
      </w:r>
    </w:p>
    <w:p w14:paraId="3EAD2A0D" w14:textId="77777777" w:rsidR="005C3D61" w:rsidRDefault="005C3D61" w:rsidP="00226AA7">
      <w:pPr>
        <w:jc w:val="both"/>
        <w:rPr>
          <w:i/>
          <w:iCs/>
        </w:rPr>
      </w:pPr>
    </w:p>
    <w:p w14:paraId="5BFAB389" w14:textId="0E28AAEE" w:rsidR="006B575F" w:rsidRDefault="007A424F" w:rsidP="00B247A7">
      <w:pPr>
        <w:jc w:val="both"/>
        <w:rPr>
          <w:rFonts w:ascii="Trebuchet MS" w:hAnsi="Trebuchet MS" w:cs="Verdana"/>
          <w:bCs/>
          <w:sz w:val="24"/>
          <w:szCs w:val="24"/>
        </w:rPr>
      </w:pPr>
      <w:r>
        <w:rPr>
          <w:rFonts w:ascii="Trebuchet MS" w:hAnsi="Trebuchet MS" w:cs="Verdana"/>
          <w:bCs/>
          <w:sz w:val="24"/>
          <w:szCs w:val="24"/>
        </w:rPr>
        <w:t xml:space="preserve">3.4.1 </w:t>
      </w:r>
      <w:r w:rsidR="00DF7708">
        <w:rPr>
          <w:rFonts w:ascii="Trebuchet MS" w:hAnsi="Trebuchet MS" w:cs="Verdana"/>
          <w:bCs/>
          <w:sz w:val="24"/>
          <w:szCs w:val="24"/>
        </w:rPr>
        <w:t>At the time of BC Urban Capacity Report</w:t>
      </w:r>
      <w:r w:rsidR="00C71310">
        <w:rPr>
          <w:rFonts w:ascii="Trebuchet MS" w:hAnsi="Trebuchet MS" w:cs="Verdana"/>
          <w:bCs/>
          <w:sz w:val="24"/>
          <w:szCs w:val="24"/>
        </w:rPr>
        <w:t>,</w:t>
      </w:r>
      <w:r w:rsidR="00DF7708">
        <w:rPr>
          <w:rFonts w:ascii="Trebuchet MS" w:hAnsi="Trebuchet MS" w:cs="Verdana"/>
          <w:bCs/>
          <w:sz w:val="24"/>
          <w:szCs w:val="24"/>
        </w:rPr>
        <w:t xml:space="preserve"> </w:t>
      </w:r>
      <w:r w:rsidR="00B247A7">
        <w:rPr>
          <w:rFonts w:ascii="Trebuchet MS" w:hAnsi="Trebuchet MS" w:cs="Verdana"/>
          <w:bCs/>
          <w:sz w:val="24"/>
          <w:szCs w:val="24"/>
        </w:rPr>
        <w:t xml:space="preserve">I raised concerns about the level of </w:t>
      </w:r>
      <w:r w:rsidR="00F01D77">
        <w:rPr>
          <w:rFonts w:ascii="Trebuchet MS" w:hAnsi="Trebuchet MS" w:cs="Verdana"/>
          <w:bCs/>
          <w:sz w:val="24"/>
          <w:szCs w:val="24"/>
        </w:rPr>
        <w:t>windfalls</w:t>
      </w:r>
      <w:r w:rsidR="00DF7708">
        <w:rPr>
          <w:rFonts w:ascii="Trebuchet MS" w:hAnsi="Trebuchet MS" w:cs="Verdana"/>
          <w:bCs/>
          <w:sz w:val="24"/>
          <w:szCs w:val="24"/>
        </w:rPr>
        <w:t xml:space="preserve">. </w:t>
      </w:r>
      <w:r w:rsidR="006E4D91">
        <w:rPr>
          <w:rFonts w:ascii="Trebuchet MS" w:hAnsi="Trebuchet MS" w:cs="Verdana"/>
          <w:bCs/>
          <w:sz w:val="24"/>
          <w:szCs w:val="24"/>
        </w:rPr>
        <w:t xml:space="preserve">I suggest </w:t>
      </w:r>
      <w:r w:rsidR="003227E9">
        <w:rPr>
          <w:rFonts w:ascii="Trebuchet MS" w:hAnsi="Trebuchet MS" w:cs="Verdana"/>
          <w:bCs/>
          <w:sz w:val="24"/>
          <w:szCs w:val="24"/>
        </w:rPr>
        <w:t>an overall figure of 577 x16 = 9</w:t>
      </w:r>
      <w:r w:rsidR="00DD67A7">
        <w:rPr>
          <w:rFonts w:ascii="Trebuchet MS" w:hAnsi="Trebuchet MS" w:cs="Verdana"/>
          <w:bCs/>
          <w:sz w:val="24"/>
          <w:szCs w:val="24"/>
        </w:rPr>
        <w:t>,</w:t>
      </w:r>
      <w:r w:rsidR="003227E9">
        <w:rPr>
          <w:rFonts w:ascii="Trebuchet MS" w:hAnsi="Trebuchet MS" w:cs="Verdana"/>
          <w:bCs/>
          <w:sz w:val="24"/>
          <w:szCs w:val="24"/>
        </w:rPr>
        <w:t xml:space="preserve">232, </w:t>
      </w:r>
      <w:r w:rsidR="00251CF8">
        <w:rPr>
          <w:rFonts w:ascii="Trebuchet MS" w:hAnsi="Trebuchet MS" w:cs="Verdana"/>
          <w:bCs/>
          <w:sz w:val="24"/>
          <w:szCs w:val="24"/>
        </w:rPr>
        <w:t xml:space="preserve">a difference of </w:t>
      </w:r>
      <w:r w:rsidR="003227E9">
        <w:rPr>
          <w:rFonts w:ascii="Trebuchet MS" w:hAnsi="Trebuchet MS" w:cs="Verdana"/>
          <w:bCs/>
          <w:sz w:val="24"/>
          <w:szCs w:val="24"/>
        </w:rPr>
        <w:t>1</w:t>
      </w:r>
      <w:r w:rsidR="00A1592D">
        <w:rPr>
          <w:rFonts w:ascii="Trebuchet MS" w:hAnsi="Trebuchet MS" w:cs="Verdana"/>
          <w:bCs/>
          <w:sz w:val="24"/>
          <w:szCs w:val="24"/>
        </w:rPr>
        <w:t>,</w:t>
      </w:r>
      <w:r w:rsidR="003227E9">
        <w:rPr>
          <w:rFonts w:ascii="Trebuchet MS" w:hAnsi="Trebuchet MS" w:cs="Verdana"/>
          <w:bCs/>
          <w:sz w:val="24"/>
          <w:szCs w:val="24"/>
        </w:rPr>
        <w:t>345</w:t>
      </w:r>
      <w:r w:rsidR="00B247A7">
        <w:rPr>
          <w:rFonts w:ascii="Trebuchet MS" w:hAnsi="Trebuchet MS" w:cs="Verdana"/>
          <w:bCs/>
          <w:sz w:val="24"/>
          <w:szCs w:val="24"/>
        </w:rPr>
        <w:t xml:space="preserve"> on the BC Plan figure.</w:t>
      </w:r>
    </w:p>
    <w:p w14:paraId="1006B06F" w14:textId="77777777" w:rsidR="006E4D91" w:rsidRDefault="006E4D91" w:rsidP="00B247A7">
      <w:pPr>
        <w:jc w:val="both"/>
        <w:rPr>
          <w:rFonts w:ascii="Trebuchet MS" w:hAnsi="Trebuchet MS" w:cs="Verdana"/>
          <w:bCs/>
          <w:sz w:val="24"/>
          <w:szCs w:val="24"/>
        </w:rPr>
      </w:pPr>
    </w:p>
    <w:p w14:paraId="22B8F122" w14:textId="24B4B212" w:rsidR="006E4D91" w:rsidRDefault="007A424F" w:rsidP="00B247A7">
      <w:pPr>
        <w:jc w:val="both"/>
        <w:rPr>
          <w:rFonts w:ascii="Trebuchet MS" w:hAnsi="Trebuchet MS" w:cs="Verdana"/>
          <w:bCs/>
          <w:sz w:val="24"/>
          <w:szCs w:val="24"/>
        </w:rPr>
      </w:pPr>
      <w:r>
        <w:rPr>
          <w:rFonts w:ascii="Trebuchet MS" w:hAnsi="Trebuchet MS" w:cs="Verdana"/>
          <w:bCs/>
          <w:sz w:val="24"/>
          <w:szCs w:val="24"/>
        </w:rPr>
        <w:t xml:space="preserve">3.4.2 </w:t>
      </w:r>
      <w:r w:rsidR="006E4D91">
        <w:rPr>
          <w:rFonts w:ascii="Trebuchet MS" w:hAnsi="Trebuchet MS" w:cs="Verdana"/>
          <w:bCs/>
          <w:sz w:val="24"/>
          <w:szCs w:val="24"/>
        </w:rPr>
        <w:t xml:space="preserve">The Sandwell Plan relies </w:t>
      </w:r>
      <w:r w:rsidR="00E257B4">
        <w:rPr>
          <w:rFonts w:ascii="Trebuchet MS" w:hAnsi="Trebuchet MS" w:cs="Verdana"/>
          <w:bCs/>
          <w:sz w:val="24"/>
          <w:szCs w:val="24"/>
        </w:rPr>
        <w:t>o</w:t>
      </w:r>
      <w:r w:rsidR="006E4D91">
        <w:rPr>
          <w:rFonts w:ascii="Trebuchet MS" w:hAnsi="Trebuchet MS" w:cs="Verdana"/>
          <w:bCs/>
          <w:sz w:val="24"/>
          <w:szCs w:val="24"/>
        </w:rPr>
        <w:t>n 10 years of windfall figures from 2013/13 onwards which leads to an average of 133.5 dpa. It includes these from 2027-2041 making 1</w:t>
      </w:r>
      <w:r w:rsidR="00A1592D">
        <w:rPr>
          <w:rFonts w:ascii="Trebuchet MS" w:hAnsi="Trebuchet MS" w:cs="Verdana"/>
          <w:bCs/>
          <w:sz w:val="24"/>
          <w:szCs w:val="24"/>
        </w:rPr>
        <w:t>,</w:t>
      </w:r>
      <w:r w:rsidR="006E4D91">
        <w:rPr>
          <w:rFonts w:ascii="Trebuchet MS" w:hAnsi="Trebuchet MS" w:cs="Verdana"/>
          <w:bCs/>
          <w:sz w:val="24"/>
          <w:szCs w:val="24"/>
        </w:rPr>
        <w:t xml:space="preserve">868 dwellings. In my view the start date should be 2025 as it may be correct to exclude the first three years of windfalls </w:t>
      </w:r>
      <w:r w:rsidR="00C71310">
        <w:rPr>
          <w:rFonts w:ascii="Trebuchet MS" w:hAnsi="Trebuchet MS" w:cs="Verdana"/>
          <w:bCs/>
          <w:sz w:val="24"/>
          <w:szCs w:val="24"/>
        </w:rPr>
        <w:t>(</w:t>
      </w:r>
      <w:r w:rsidR="006E4D91">
        <w:rPr>
          <w:rFonts w:ascii="Trebuchet MS" w:hAnsi="Trebuchet MS" w:cs="Verdana"/>
          <w:bCs/>
          <w:sz w:val="24"/>
          <w:szCs w:val="24"/>
        </w:rPr>
        <w:t xml:space="preserve">on the assumption that those </w:t>
      </w:r>
      <w:r w:rsidR="00FA5A1A">
        <w:rPr>
          <w:rFonts w:ascii="Trebuchet MS" w:hAnsi="Trebuchet MS" w:cs="Verdana"/>
          <w:bCs/>
          <w:sz w:val="24"/>
          <w:szCs w:val="24"/>
        </w:rPr>
        <w:t>sites are already in the system,</w:t>
      </w:r>
      <w:r w:rsidR="00C71310">
        <w:rPr>
          <w:rFonts w:ascii="Trebuchet MS" w:hAnsi="Trebuchet MS" w:cs="Verdana"/>
          <w:bCs/>
          <w:sz w:val="24"/>
          <w:szCs w:val="24"/>
        </w:rPr>
        <w:t>)</w:t>
      </w:r>
      <w:r w:rsidR="00FA5A1A">
        <w:rPr>
          <w:rFonts w:ascii="Trebuchet MS" w:hAnsi="Trebuchet MS" w:cs="Verdana"/>
          <w:bCs/>
          <w:sz w:val="24"/>
          <w:szCs w:val="24"/>
        </w:rPr>
        <w:t xml:space="preserve"> but since the </w:t>
      </w:r>
      <w:r w:rsidR="00FA5A1A">
        <w:rPr>
          <w:rFonts w:ascii="Trebuchet MS" w:hAnsi="Trebuchet MS" w:cs="Verdana"/>
          <w:bCs/>
          <w:sz w:val="24"/>
          <w:szCs w:val="24"/>
        </w:rPr>
        <w:lastRenderedPageBreak/>
        <w:t>SHLAAs sta</w:t>
      </w:r>
      <w:r w:rsidR="00C71310">
        <w:rPr>
          <w:rFonts w:ascii="Trebuchet MS" w:hAnsi="Trebuchet MS" w:cs="Verdana"/>
          <w:bCs/>
          <w:sz w:val="24"/>
          <w:szCs w:val="24"/>
        </w:rPr>
        <w:t>r</w:t>
      </w:r>
      <w:r w:rsidR="00FA5A1A">
        <w:rPr>
          <w:rFonts w:ascii="Trebuchet MS" w:hAnsi="Trebuchet MS" w:cs="Verdana"/>
          <w:bCs/>
          <w:sz w:val="24"/>
          <w:szCs w:val="24"/>
        </w:rPr>
        <w:t>t date is 2022, that means there is a 2-year discrepancy and the approach is not consistent.</w:t>
      </w:r>
    </w:p>
    <w:p w14:paraId="0B41A14E" w14:textId="77777777" w:rsidR="00FA5A1A" w:rsidRDefault="00FA5A1A" w:rsidP="00B247A7">
      <w:pPr>
        <w:jc w:val="both"/>
        <w:rPr>
          <w:rFonts w:ascii="Trebuchet MS" w:hAnsi="Trebuchet MS" w:cs="Verdana"/>
          <w:bCs/>
          <w:sz w:val="24"/>
          <w:szCs w:val="24"/>
        </w:rPr>
      </w:pPr>
    </w:p>
    <w:p w14:paraId="798BEF56" w14:textId="23E8E163" w:rsidR="00FA5A1A" w:rsidRDefault="007A424F" w:rsidP="00B247A7">
      <w:pPr>
        <w:jc w:val="both"/>
        <w:rPr>
          <w:rFonts w:ascii="Trebuchet MS" w:hAnsi="Trebuchet MS" w:cs="Verdana"/>
          <w:bCs/>
          <w:sz w:val="24"/>
          <w:szCs w:val="24"/>
        </w:rPr>
      </w:pPr>
      <w:r>
        <w:rPr>
          <w:rFonts w:ascii="Trebuchet MS" w:hAnsi="Trebuchet MS" w:cs="Verdana"/>
          <w:bCs/>
          <w:sz w:val="24"/>
          <w:szCs w:val="24"/>
        </w:rPr>
        <w:t xml:space="preserve">3.4.3 </w:t>
      </w:r>
      <w:r w:rsidR="00FA5A1A">
        <w:rPr>
          <w:rFonts w:ascii="Trebuchet MS" w:hAnsi="Trebuchet MS" w:cs="Verdana"/>
          <w:bCs/>
          <w:sz w:val="24"/>
          <w:szCs w:val="24"/>
        </w:rPr>
        <w:t xml:space="preserve">When the plan is adopted the supply should be higher because of windfalls for those two years. Furthermore, it can be seen that 2020 and 2021 are exceptional years </w:t>
      </w:r>
      <w:r w:rsidR="00C71310">
        <w:rPr>
          <w:rFonts w:ascii="Trebuchet MS" w:hAnsi="Trebuchet MS" w:cs="Verdana"/>
          <w:bCs/>
          <w:sz w:val="24"/>
          <w:szCs w:val="24"/>
        </w:rPr>
        <w:t xml:space="preserve">(probably </w:t>
      </w:r>
      <w:r w:rsidR="00FA5A1A">
        <w:rPr>
          <w:rFonts w:ascii="Trebuchet MS" w:hAnsi="Trebuchet MS" w:cs="Verdana"/>
          <w:bCs/>
          <w:sz w:val="24"/>
          <w:szCs w:val="24"/>
        </w:rPr>
        <w:t xml:space="preserve">due to the </w:t>
      </w:r>
      <w:r w:rsidR="00C71310">
        <w:rPr>
          <w:rFonts w:ascii="Trebuchet MS" w:hAnsi="Trebuchet MS" w:cs="Verdana"/>
          <w:bCs/>
          <w:sz w:val="24"/>
          <w:szCs w:val="24"/>
        </w:rPr>
        <w:t xml:space="preserve">COVID </w:t>
      </w:r>
      <w:r w:rsidR="00FA5A1A">
        <w:rPr>
          <w:rFonts w:ascii="Trebuchet MS" w:hAnsi="Trebuchet MS" w:cs="Verdana"/>
          <w:bCs/>
          <w:sz w:val="24"/>
          <w:szCs w:val="24"/>
        </w:rPr>
        <w:t>pandemic</w:t>
      </w:r>
      <w:r w:rsidR="00C71310">
        <w:rPr>
          <w:rFonts w:ascii="Trebuchet MS" w:hAnsi="Trebuchet MS" w:cs="Verdana"/>
          <w:bCs/>
          <w:sz w:val="24"/>
          <w:szCs w:val="24"/>
        </w:rPr>
        <w:t>)</w:t>
      </w:r>
      <w:r w:rsidR="00FA5A1A">
        <w:rPr>
          <w:rFonts w:ascii="Trebuchet MS" w:hAnsi="Trebuchet MS" w:cs="Verdana"/>
          <w:bCs/>
          <w:sz w:val="24"/>
          <w:szCs w:val="24"/>
        </w:rPr>
        <w:t>. If they are excluded the figure rises to 147 dpa which seems to me more consistent with recent trends. My calculation (16x147) would result in 2</w:t>
      </w:r>
      <w:r w:rsidR="00A1592D">
        <w:rPr>
          <w:rFonts w:ascii="Trebuchet MS" w:hAnsi="Trebuchet MS" w:cs="Verdana"/>
          <w:bCs/>
          <w:sz w:val="24"/>
          <w:szCs w:val="24"/>
        </w:rPr>
        <w:t>,</w:t>
      </w:r>
      <w:r w:rsidR="00FA5A1A">
        <w:rPr>
          <w:rFonts w:ascii="Trebuchet MS" w:hAnsi="Trebuchet MS" w:cs="Verdana"/>
          <w:bCs/>
          <w:sz w:val="24"/>
          <w:szCs w:val="24"/>
        </w:rPr>
        <w:t>352 small windfalls, an increase of 484.</w:t>
      </w:r>
    </w:p>
    <w:p w14:paraId="3BC66C48" w14:textId="77777777" w:rsidR="009D42EC" w:rsidRDefault="009D42EC" w:rsidP="00226AA7">
      <w:pPr>
        <w:jc w:val="both"/>
        <w:rPr>
          <w:rFonts w:ascii="Trebuchet MS" w:hAnsi="Trebuchet MS" w:cs="Verdana"/>
          <w:bCs/>
          <w:sz w:val="24"/>
          <w:szCs w:val="24"/>
        </w:rPr>
      </w:pPr>
    </w:p>
    <w:p w14:paraId="14FEB76F" w14:textId="4101B4B5" w:rsidR="00DF7708" w:rsidRDefault="007A424F" w:rsidP="00226AA7">
      <w:pPr>
        <w:jc w:val="both"/>
        <w:rPr>
          <w:rFonts w:ascii="Trebuchet MS" w:hAnsi="Trebuchet MS" w:cs="Verdana"/>
          <w:bCs/>
          <w:sz w:val="24"/>
          <w:szCs w:val="24"/>
        </w:rPr>
      </w:pPr>
      <w:r>
        <w:rPr>
          <w:rFonts w:ascii="Trebuchet MS" w:hAnsi="Trebuchet MS" w:cs="Verdana"/>
          <w:bCs/>
          <w:sz w:val="24"/>
          <w:szCs w:val="24"/>
        </w:rPr>
        <w:t xml:space="preserve">3.4.4 </w:t>
      </w:r>
      <w:r w:rsidR="00B247A7">
        <w:rPr>
          <w:rFonts w:ascii="Trebuchet MS" w:hAnsi="Trebuchet MS" w:cs="Verdana"/>
          <w:bCs/>
          <w:sz w:val="24"/>
          <w:szCs w:val="24"/>
        </w:rPr>
        <w:t>I also raise</w:t>
      </w:r>
      <w:r w:rsidR="00C71310">
        <w:rPr>
          <w:rFonts w:ascii="Trebuchet MS" w:hAnsi="Trebuchet MS" w:cs="Verdana"/>
          <w:bCs/>
          <w:sz w:val="24"/>
          <w:szCs w:val="24"/>
        </w:rPr>
        <w:t>d</w:t>
      </w:r>
      <w:r w:rsidR="00B247A7">
        <w:rPr>
          <w:rFonts w:ascii="Trebuchet MS" w:hAnsi="Trebuchet MS" w:cs="Verdana"/>
          <w:bCs/>
          <w:sz w:val="24"/>
          <w:szCs w:val="24"/>
        </w:rPr>
        <w:t xml:space="preserve"> </w:t>
      </w:r>
      <w:r w:rsidR="00390E59">
        <w:rPr>
          <w:rFonts w:ascii="Trebuchet MS" w:hAnsi="Trebuchet MS" w:cs="Verdana"/>
          <w:bCs/>
          <w:sz w:val="24"/>
          <w:szCs w:val="24"/>
        </w:rPr>
        <w:t>the question of larger windfalls</w:t>
      </w:r>
      <w:r w:rsidR="00DF7708">
        <w:rPr>
          <w:rFonts w:ascii="Trebuchet MS" w:hAnsi="Trebuchet MS" w:cs="Verdana"/>
          <w:bCs/>
          <w:sz w:val="24"/>
          <w:szCs w:val="24"/>
        </w:rPr>
        <w:t xml:space="preserve"> </w:t>
      </w:r>
      <w:r w:rsidR="00C71310">
        <w:rPr>
          <w:rFonts w:ascii="Trebuchet MS" w:hAnsi="Trebuchet MS" w:cs="Verdana"/>
          <w:bCs/>
          <w:sz w:val="24"/>
          <w:szCs w:val="24"/>
        </w:rPr>
        <w:t>when I commented on</w:t>
      </w:r>
      <w:r w:rsidR="00FA5A1A">
        <w:rPr>
          <w:rFonts w:ascii="Trebuchet MS" w:hAnsi="Trebuchet MS" w:cs="Verdana"/>
          <w:bCs/>
          <w:sz w:val="24"/>
          <w:szCs w:val="24"/>
        </w:rPr>
        <w:t xml:space="preserve"> the Black Country Urban Capacity Report </w:t>
      </w:r>
      <w:r w:rsidR="00DF7708">
        <w:rPr>
          <w:rFonts w:ascii="Trebuchet MS" w:hAnsi="Trebuchet MS" w:cs="Verdana"/>
          <w:bCs/>
          <w:sz w:val="24"/>
          <w:szCs w:val="24"/>
        </w:rPr>
        <w:t>which still do not seem to feature in the Sandwell Plan even though, for reasons given above, one might expect it to constitute a serious source of supply, which could be evidenced by past data and would involve housing being built where it is most needed on brownfield sites.</w:t>
      </w:r>
    </w:p>
    <w:p w14:paraId="62EBAA3C" w14:textId="77777777" w:rsidR="00DF7708" w:rsidRDefault="00DF7708" w:rsidP="00226AA7">
      <w:pPr>
        <w:jc w:val="both"/>
        <w:rPr>
          <w:rFonts w:ascii="Trebuchet MS" w:hAnsi="Trebuchet MS" w:cs="Verdana"/>
          <w:bCs/>
          <w:sz w:val="24"/>
          <w:szCs w:val="24"/>
        </w:rPr>
      </w:pPr>
    </w:p>
    <w:p w14:paraId="4634D402" w14:textId="2FF27F9E" w:rsidR="00BD5E95" w:rsidRPr="00BD5E95" w:rsidRDefault="007A424F" w:rsidP="00226AA7">
      <w:pPr>
        <w:jc w:val="both"/>
        <w:rPr>
          <w:rFonts w:ascii="Trebuchet MS" w:hAnsi="Trebuchet MS" w:cs="Verdana"/>
          <w:bCs/>
          <w:sz w:val="24"/>
          <w:szCs w:val="24"/>
        </w:rPr>
      </w:pPr>
      <w:r>
        <w:rPr>
          <w:rFonts w:ascii="Trebuchet MS" w:hAnsi="Trebuchet MS" w:cs="Verdana"/>
          <w:bCs/>
          <w:sz w:val="24"/>
          <w:szCs w:val="24"/>
        </w:rPr>
        <w:t xml:space="preserve">3.4.5 </w:t>
      </w:r>
      <w:r w:rsidR="00DF7708">
        <w:rPr>
          <w:rFonts w:ascii="Trebuchet MS" w:hAnsi="Trebuchet MS" w:cs="Verdana"/>
          <w:bCs/>
          <w:sz w:val="24"/>
          <w:szCs w:val="24"/>
        </w:rPr>
        <w:t>B</w:t>
      </w:r>
      <w:r w:rsidR="00093411">
        <w:rPr>
          <w:rFonts w:ascii="Trebuchet MS" w:hAnsi="Trebuchet MS" w:cs="Verdana"/>
          <w:bCs/>
          <w:sz w:val="24"/>
          <w:szCs w:val="24"/>
        </w:rPr>
        <w:t xml:space="preserve">oth the </w:t>
      </w:r>
      <w:r w:rsidR="00DE256F">
        <w:rPr>
          <w:rFonts w:ascii="Trebuchet MS" w:hAnsi="Trebuchet MS" w:cs="Verdana"/>
          <w:bCs/>
          <w:sz w:val="24"/>
          <w:szCs w:val="24"/>
        </w:rPr>
        <w:t>reduc</w:t>
      </w:r>
      <w:r w:rsidR="00093411">
        <w:rPr>
          <w:rFonts w:ascii="Trebuchet MS" w:hAnsi="Trebuchet MS" w:cs="Verdana"/>
          <w:bCs/>
          <w:sz w:val="24"/>
          <w:szCs w:val="24"/>
        </w:rPr>
        <w:t xml:space="preserve">tion in </w:t>
      </w:r>
      <w:r w:rsidR="00DE256F">
        <w:rPr>
          <w:rFonts w:ascii="Trebuchet MS" w:hAnsi="Trebuchet MS" w:cs="Verdana"/>
          <w:bCs/>
          <w:sz w:val="24"/>
          <w:szCs w:val="24"/>
        </w:rPr>
        <w:t xml:space="preserve">the amount of </w:t>
      </w:r>
      <w:r w:rsidR="00093411">
        <w:rPr>
          <w:rFonts w:ascii="Trebuchet MS" w:hAnsi="Trebuchet MS" w:cs="Verdana"/>
          <w:bCs/>
          <w:sz w:val="24"/>
          <w:szCs w:val="24"/>
        </w:rPr>
        <w:t>anticipated housing on</w:t>
      </w:r>
      <w:r w:rsidR="00BD5E95" w:rsidRPr="00BD5E95">
        <w:rPr>
          <w:rFonts w:ascii="Trebuchet MS" w:hAnsi="Trebuchet MS" w:cs="Verdana"/>
          <w:bCs/>
          <w:sz w:val="24"/>
          <w:szCs w:val="24"/>
        </w:rPr>
        <w:t xml:space="preserve"> industrial </w:t>
      </w:r>
      <w:r w:rsidR="00C71310">
        <w:rPr>
          <w:rFonts w:ascii="Trebuchet MS" w:hAnsi="Trebuchet MS" w:cs="Verdana"/>
          <w:bCs/>
          <w:sz w:val="24"/>
          <w:szCs w:val="24"/>
        </w:rPr>
        <w:t xml:space="preserve">land </w:t>
      </w:r>
      <w:r w:rsidR="00BD5E95" w:rsidRPr="00BD5E95">
        <w:rPr>
          <w:rFonts w:ascii="Trebuchet MS" w:hAnsi="Trebuchet MS" w:cs="Verdana"/>
          <w:bCs/>
          <w:sz w:val="24"/>
          <w:szCs w:val="24"/>
        </w:rPr>
        <w:t xml:space="preserve">and the approach to centres </w:t>
      </w:r>
      <w:r w:rsidR="00093411">
        <w:rPr>
          <w:rFonts w:ascii="Trebuchet MS" w:hAnsi="Trebuchet MS" w:cs="Verdana"/>
          <w:bCs/>
          <w:sz w:val="24"/>
          <w:szCs w:val="24"/>
        </w:rPr>
        <w:t>would support the</w:t>
      </w:r>
      <w:r w:rsidR="002B4548">
        <w:rPr>
          <w:rFonts w:ascii="Trebuchet MS" w:hAnsi="Trebuchet MS" w:cs="Verdana"/>
          <w:bCs/>
          <w:sz w:val="24"/>
          <w:szCs w:val="24"/>
        </w:rPr>
        <w:t xml:space="preserve"> assumption that </w:t>
      </w:r>
      <w:r w:rsidR="00BD5E95" w:rsidRPr="00BD5E95">
        <w:rPr>
          <w:rFonts w:ascii="Trebuchet MS" w:hAnsi="Trebuchet MS" w:cs="Verdana"/>
          <w:bCs/>
          <w:sz w:val="24"/>
          <w:szCs w:val="24"/>
        </w:rPr>
        <w:t xml:space="preserve">larger windfalls </w:t>
      </w:r>
      <w:r w:rsidR="002B4548">
        <w:rPr>
          <w:rFonts w:ascii="Trebuchet MS" w:hAnsi="Trebuchet MS" w:cs="Verdana"/>
          <w:bCs/>
          <w:sz w:val="24"/>
          <w:szCs w:val="24"/>
        </w:rPr>
        <w:t>w</w:t>
      </w:r>
      <w:r w:rsidR="00093411">
        <w:rPr>
          <w:rFonts w:ascii="Trebuchet MS" w:hAnsi="Trebuchet MS" w:cs="Verdana"/>
          <w:bCs/>
          <w:sz w:val="24"/>
          <w:szCs w:val="24"/>
        </w:rPr>
        <w:t>ould</w:t>
      </w:r>
      <w:r w:rsidR="002B4548">
        <w:rPr>
          <w:rFonts w:ascii="Trebuchet MS" w:hAnsi="Trebuchet MS" w:cs="Verdana"/>
          <w:bCs/>
          <w:sz w:val="24"/>
          <w:szCs w:val="24"/>
        </w:rPr>
        <w:t xml:space="preserve"> </w:t>
      </w:r>
      <w:r w:rsidR="00BD5E95" w:rsidRPr="00BD5E95">
        <w:rPr>
          <w:rFonts w:ascii="Trebuchet MS" w:hAnsi="Trebuchet MS" w:cs="Verdana"/>
          <w:bCs/>
          <w:sz w:val="24"/>
          <w:szCs w:val="24"/>
        </w:rPr>
        <w:t>come forwards</w:t>
      </w:r>
      <w:r w:rsidR="00093411">
        <w:rPr>
          <w:rFonts w:ascii="Trebuchet MS" w:hAnsi="Trebuchet MS" w:cs="Verdana"/>
          <w:bCs/>
          <w:sz w:val="24"/>
          <w:szCs w:val="24"/>
        </w:rPr>
        <w:t xml:space="preserve">, and that this </w:t>
      </w:r>
      <w:r w:rsidR="002B4548">
        <w:rPr>
          <w:rFonts w:ascii="Trebuchet MS" w:hAnsi="Trebuchet MS" w:cs="Verdana"/>
          <w:bCs/>
          <w:sz w:val="24"/>
          <w:szCs w:val="24"/>
        </w:rPr>
        <w:t xml:space="preserve">could be estimated </w:t>
      </w:r>
      <w:r w:rsidR="00BD5E95" w:rsidRPr="00BD5E95">
        <w:rPr>
          <w:rFonts w:ascii="Trebuchet MS" w:hAnsi="Trebuchet MS" w:cs="Verdana"/>
          <w:bCs/>
          <w:sz w:val="24"/>
          <w:szCs w:val="24"/>
        </w:rPr>
        <w:t xml:space="preserve">based on historic larger windfall provision. </w:t>
      </w:r>
    </w:p>
    <w:p w14:paraId="73B61FFF" w14:textId="77777777" w:rsidR="00390E59" w:rsidRDefault="00390E59" w:rsidP="00226AA7">
      <w:pPr>
        <w:jc w:val="both"/>
        <w:rPr>
          <w:rFonts w:ascii="Trebuchet MS" w:hAnsi="Trebuchet MS" w:cs="Verdana"/>
          <w:bCs/>
          <w:sz w:val="24"/>
          <w:szCs w:val="24"/>
        </w:rPr>
      </w:pPr>
    </w:p>
    <w:p w14:paraId="2CF68096" w14:textId="2B89368F" w:rsidR="00BD5E95" w:rsidRDefault="007A424F" w:rsidP="00226AA7">
      <w:pPr>
        <w:jc w:val="both"/>
        <w:rPr>
          <w:rFonts w:ascii="Trebuchet MS" w:hAnsi="Trebuchet MS" w:cs="Verdana"/>
          <w:bCs/>
          <w:sz w:val="24"/>
          <w:szCs w:val="24"/>
        </w:rPr>
      </w:pPr>
      <w:r>
        <w:rPr>
          <w:rFonts w:ascii="Trebuchet MS" w:hAnsi="Trebuchet MS" w:cs="Verdana"/>
          <w:bCs/>
          <w:sz w:val="24"/>
          <w:szCs w:val="24"/>
        </w:rPr>
        <w:t xml:space="preserve">3.4.6 </w:t>
      </w:r>
      <w:r w:rsidR="00DF7708">
        <w:rPr>
          <w:rFonts w:ascii="Trebuchet MS" w:hAnsi="Trebuchet MS" w:cs="Verdana"/>
          <w:bCs/>
          <w:sz w:val="24"/>
          <w:szCs w:val="24"/>
        </w:rPr>
        <w:t>At the very beginning of the Black Country Plan t</w:t>
      </w:r>
      <w:r w:rsidR="00390E59">
        <w:rPr>
          <w:rFonts w:ascii="Trebuchet MS" w:hAnsi="Trebuchet MS" w:cs="Verdana"/>
          <w:bCs/>
          <w:sz w:val="24"/>
          <w:szCs w:val="24"/>
        </w:rPr>
        <w:t xml:space="preserve">he Housing Supply Background </w:t>
      </w:r>
      <w:r w:rsidR="003E3F7C">
        <w:rPr>
          <w:rFonts w:ascii="Trebuchet MS" w:hAnsi="Trebuchet MS" w:cs="Verdana"/>
          <w:bCs/>
          <w:sz w:val="24"/>
          <w:szCs w:val="24"/>
        </w:rPr>
        <w:t>R</w:t>
      </w:r>
      <w:r w:rsidR="00390E59">
        <w:rPr>
          <w:rFonts w:ascii="Trebuchet MS" w:hAnsi="Trebuchet MS" w:cs="Verdana"/>
          <w:bCs/>
          <w:sz w:val="24"/>
          <w:szCs w:val="24"/>
        </w:rPr>
        <w:t xml:space="preserve">eport </w:t>
      </w:r>
      <w:r w:rsidR="00093411">
        <w:rPr>
          <w:rFonts w:ascii="Trebuchet MS" w:hAnsi="Trebuchet MS" w:cs="Verdana"/>
          <w:bCs/>
          <w:sz w:val="24"/>
          <w:szCs w:val="24"/>
        </w:rPr>
        <w:t>at</w:t>
      </w:r>
      <w:r w:rsidR="00390E59">
        <w:rPr>
          <w:rFonts w:ascii="Trebuchet MS" w:hAnsi="Trebuchet MS" w:cs="Verdana"/>
          <w:bCs/>
          <w:sz w:val="24"/>
          <w:szCs w:val="24"/>
        </w:rPr>
        <w:t xml:space="preserve"> the </w:t>
      </w:r>
      <w:r w:rsidR="00093411">
        <w:rPr>
          <w:rFonts w:ascii="Trebuchet MS" w:hAnsi="Trebuchet MS" w:cs="Verdana"/>
          <w:bCs/>
          <w:sz w:val="24"/>
          <w:szCs w:val="24"/>
        </w:rPr>
        <w:t xml:space="preserve">BC </w:t>
      </w:r>
      <w:r w:rsidR="00390E59">
        <w:rPr>
          <w:rFonts w:ascii="Trebuchet MS" w:hAnsi="Trebuchet MS" w:cs="Verdana"/>
          <w:bCs/>
          <w:sz w:val="24"/>
          <w:szCs w:val="24"/>
        </w:rPr>
        <w:t xml:space="preserve">Options Stage </w:t>
      </w:r>
      <w:r w:rsidR="000B7AA6">
        <w:rPr>
          <w:rFonts w:ascii="Trebuchet MS" w:hAnsi="Trebuchet MS" w:cs="Verdana"/>
          <w:bCs/>
          <w:sz w:val="24"/>
          <w:szCs w:val="24"/>
        </w:rPr>
        <w:t>(</w:t>
      </w:r>
      <w:r w:rsidR="00DF7708">
        <w:rPr>
          <w:rFonts w:ascii="Trebuchet MS" w:hAnsi="Trebuchet MS" w:cs="Verdana"/>
          <w:bCs/>
          <w:sz w:val="24"/>
          <w:szCs w:val="24"/>
        </w:rPr>
        <w:t xml:space="preserve">Para 4.22) </w:t>
      </w:r>
      <w:r w:rsidR="00390E59">
        <w:rPr>
          <w:rFonts w:ascii="Trebuchet MS" w:hAnsi="Trebuchet MS" w:cs="Verdana"/>
          <w:bCs/>
          <w:sz w:val="24"/>
          <w:szCs w:val="24"/>
        </w:rPr>
        <w:t>said that</w:t>
      </w:r>
      <w:r w:rsidR="00E84575">
        <w:rPr>
          <w:rFonts w:ascii="Trebuchet MS" w:hAnsi="Trebuchet MS" w:cs="Verdana"/>
          <w:bCs/>
          <w:sz w:val="24"/>
          <w:szCs w:val="24"/>
        </w:rPr>
        <w:t>, based on</w:t>
      </w:r>
      <w:r w:rsidR="00EB560C">
        <w:rPr>
          <w:rFonts w:ascii="Trebuchet MS" w:hAnsi="Trebuchet MS" w:cs="Verdana"/>
          <w:bCs/>
          <w:sz w:val="24"/>
          <w:szCs w:val="24"/>
        </w:rPr>
        <w:t xml:space="preserve"> </w:t>
      </w:r>
      <w:r w:rsidR="00E84575">
        <w:rPr>
          <w:rFonts w:ascii="Trebuchet MS" w:hAnsi="Trebuchet MS" w:cs="Verdana"/>
          <w:bCs/>
          <w:sz w:val="24"/>
          <w:szCs w:val="24"/>
        </w:rPr>
        <w:t xml:space="preserve">the number of </w:t>
      </w:r>
      <w:r w:rsidR="00390E59">
        <w:rPr>
          <w:rFonts w:ascii="Trebuchet MS" w:hAnsi="Trebuchet MS" w:cs="Verdana"/>
          <w:bCs/>
          <w:sz w:val="24"/>
          <w:szCs w:val="24"/>
        </w:rPr>
        <w:t>large windfall sites not in industrial use</w:t>
      </w:r>
      <w:r w:rsidR="00EB560C">
        <w:rPr>
          <w:rFonts w:ascii="Trebuchet MS" w:hAnsi="Trebuchet MS" w:cs="Verdana"/>
          <w:bCs/>
          <w:sz w:val="24"/>
          <w:szCs w:val="24"/>
        </w:rPr>
        <w:t xml:space="preserve"> </w:t>
      </w:r>
      <w:r w:rsidR="00E84575">
        <w:rPr>
          <w:rFonts w:ascii="Trebuchet MS" w:hAnsi="Trebuchet MS" w:cs="Verdana"/>
          <w:bCs/>
          <w:sz w:val="24"/>
          <w:szCs w:val="24"/>
        </w:rPr>
        <w:t xml:space="preserve">which </w:t>
      </w:r>
      <w:r w:rsidR="00390E59">
        <w:rPr>
          <w:rFonts w:ascii="Trebuchet MS" w:hAnsi="Trebuchet MS" w:cs="Verdana"/>
          <w:bCs/>
          <w:sz w:val="24"/>
          <w:szCs w:val="24"/>
        </w:rPr>
        <w:t>came forward in 2011-2016</w:t>
      </w:r>
      <w:r w:rsidR="00EB560C">
        <w:rPr>
          <w:rFonts w:ascii="Trebuchet MS" w:hAnsi="Trebuchet MS" w:cs="Verdana"/>
          <w:bCs/>
          <w:sz w:val="24"/>
          <w:szCs w:val="24"/>
        </w:rPr>
        <w:t>,</w:t>
      </w:r>
      <w:r w:rsidR="00E84575">
        <w:rPr>
          <w:rFonts w:ascii="Trebuchet MS" w:hAnsi="Trebuchet MS" w:cs="Verdana"/>
          <w:bCs/>
          <w:sz w:val="24"/>
          <w:szCs w:val="24"/>
        </w:rPr>
        <w:t xml:space="preserve"> a further</w:t>
      </w:r>
      <w:r w:rsidR="002952E0">
        <w:rPr>
          <w:rFonts w:ascii="Trebuchet MS" w:hAnsi="Trebuchet MS" w:cs="Verdana"/>
          <w:bCs/>
          <w:sz w:val="24"/>
          <w:szCs w:val="24"/>
        </w:rPr>
        <w:t xml:space="preserve"> 5</w:t>
      </w:r>
      <w:r w:rsidR="00251CF8">
        <w:rPr>
          <w:rFonts w:ascii="Trebuchet MS" w:hAnsi="Trebuchet MS" w:cs="Verdana"/>
          <w:bCs/>
          <w:sz w:val="24"/>
          <w:szCs w:val="24"/>
        </w:rPr>
        <w:t>,</w:t>
      </w:r>
      <w:r w:rsidR="002952E0">
        <w:rPr>
          <w:rFonts w:ascii="Trebuchet MS" w:hAnsi="Trebuchet MS" w:cs="Verdana"/>
          <w:bCs/>
          <w:sz w:val="24"/>
          <w:szCs w:val="24"/>
        </w:rPr>
        <w:t xml:space="preserve">089 homes </w:t>
      </w:r>
      <w:r w:rsidR="00E84575">
        <w:rPr>
          <w:rFonts w:ascii="Trebuchet MS" w:hAnsi="Trebuchet MS" w:cs="Verdana"/>
          <w:bCs/>
          <w:sz w:val="24"/>
          <w:szCs w:val="24"/>
        </w:rPr>
        <w:t xml:space="preserve">could come </w:t>
      </w:r>
      <w:r w:rsidR="002952E0">
        <w:rPr>
          <w:rFonts w:ascii="Trebuchet MS" w:hAnsi="Trebuchet MS" w:cs="Verdana"/>
          <w:bCs/>
          <w:sz w:val="24"/>
          <w:szCs w:val="24"/>
        </w:rPr>
        <w:t xml:space="preserve">from </w:t>
      </w:r>
      <w:r w:rsidR="00E84575">
        <w:rPr>
          <w:rFonts w:ascii="Trebuchet MS" w:hAnsi="Trebuchet MS" w:cs="Verdana"/>
          <w:bCs/>
          <w:sz w:val="24"/>
          <w:szCs w:val="24"/>
        </w:rPr>
        <w:t xml:space="preserve">that source between </w:t>
      </w:r>
      <w:r w:rsidR="002952E0">
        <w:rPr>
          <w:rFonts w:ascii="Trebuchet MS" w:hAnsi="Trebuchet MS" w:cs="Verdana"/>
          <w:bCs/>
          <w:sz w:val="24"/>
          <w:szCs w:val="24"/>
        </w:rPr>
        <w:t>2026-2036 if th</w:t>
      </w:r>
      <w:r w:rsidR="00E84575">
        <w:rPr>
          <w:rFonts w:ascii="Trebuchet MS" w:hAnsi="Trebuchet MS" w:cs="Verdana"/>
          <w:bCs/>
          <w:sz w:val="24"/>
          <w:szCs w:val="24"/>
        </w:rPr>
        <w:t>e</w:t>
      </w:r>
      <w:r w:rsidR="002952E0">
        <w:rPr>
          <w:rFonts w:ascii="Trebuchet MS" w:hAnsi="Trebuchet MS" w:cs="Verdana"/>
          <w:bCs/>
          <w:sz w:val="24"/>
          <w:szCs w:val="24"/>
        </w:rPr>
        <w:t xml:space="preserve"> trend </w:t>
      </w:r>
      <w:r w:rsidR="00EB560C">
        <w:rPr>
          <w:rFonts w:ascii="Trebuchet MS" w:hAnsi="Trebuchet MS" w:cs="Verdana"/>
          <w:bCs/>
          <w:sz w:val="24"/>
          <w:szCs w:val="24"/>
        </w:rPr>
        <w:t>were to c</w:t>
      </w:r>
      <w:r w:rsidR="002952E0">
        <w:rPr>
          <w:rFonts w:ascii="Trebuchet MS" w:hAnsi="Trebuchet MS" w:cs="Verdana"/>
          <w:bCs/>
          <w:sz w:val="24"/>
          <w:szCs w:val="24"/>
        </w:rPr>
        <w:t>ontinue. However, they cautiously suggested half that rate and (after a small amount of other discounting), came up with a figure of 2,233</w:t>
      </w:r>
      <w:r w:rsidR="00DF7708">
        <w:rPr>
          <w:rFonts w:ascii="Trebuchet MS" w:hAnsi="Trebuchet MS" w:cs="Verdana"/>
          <w:bCs/>
          <w:sz w:val="24"/>
          <w:szCs w:val="24"/>
        </w:rPr>
        <w:t xml:space="preserve"> which they divided into 636 for each borough (2016-2036) </w:t>
      </w:r>
      <w:r w:rsidR="00E84575">
        <w:rPr>
          <w:rStyle w:val="FootnoteReference"/>
          <w:rFonts w:ascii="Trebuchet MS" w:hAnsi="Trebuchet MS" w:cs="Verdana"/>
          <w:bCs/>
          <w:sz w:val="24"/>
          <w:szCs w:val="24"/>
        </w:rPr>
        <w:footnoteReference w:id="5"/>
      </w:r>
      <w:r w:rsidR="002952E0">
        <w:rPr>
          <w:rFonts w:ascii="Trebuchet MS" w:hAnsi="Trebuchet MS" w:cs="Verdana"/>
          <w:bCs/>
          <w:sz w:val="24"/>
          <w:szCs w:val="24"/>
        </w:rPr>
        <w:t xml:space="preserve">. </w:t>
      </w:r>
    </w:p>
    <w:p w14:paraId="07AFB337" w14:textId="77777777" w:rsidR="002952E0" w:rsidRDefault="002952E0" w:rsidP="00226AA7">
      <w:pPr>
        <w:jc w:val="both"/>
        <w:rPr>
          <w:rFonts w:ascii="Trebuchet MS" w:hAnsi="Trebuchet MS" w:cs="Verdana"/>
          <w:bCs/>
          <w:sz w:val="24"/>
          <w:szCs w:val="24"/>
        </w:rPr>
      </w:pPr>
    </w:p>
    <w:p w14:paraId="7A7B0BB6" w14:textId="0692898F" w:rsidR="002952E0" w:rsidRDefault="007A424F" w:rsidP="00226AA7">
      <w:pPr>
        <w:jc w:val="both"/>
        <w:rPr>
          <w:rFonts w:ascii="Trebuchet MS" w:hAnsi="Trebuchet MS" w:cs="Verdana"/>
          <w:bCs/>
          <w:sz w:val="24"/>
          <w:szCs w:val="24"/>
        </w:rPr>
      </w:pPr>
      <w:r>
        <w:rPr>
          <w:rFonts w:ascii="Trebuchet MS" w:hAnsi="Trebuchet MS" w:cs="Verdana"/>
          <w:bCs/>
          <w:sz w:val="24"/>
          <w:szCs w:val="24"/>
        </w:rPr>
        <w:t xml:space="preserve">3.4.7 </w:t>
      </w:r>
      <w:r w:rsidR="002952E0">
        <w:rPr>
          <w:rFonts w:ascii="Trebuchet MS" w:hAnsi="Trebuchet MS" w:cs="Verdana"/>
          <w:bCs/>
          <w:sz w:val="24"/>
          <w:szCs w:val="24"/>
        </w:rPr>
        <w:t>Th</w:t>
      </w:r>
      <w:r w:rsidR="003E3F7C">
        <w:rPr>
          <w:rFonts w:ascii="Trebuchet MS" w:hAnsi="Trebuchet MS" w:cs="Verdana"/>
          <w:bCs/>
          <w:sz w:val="24"/>
          <w:szCs w:val="24"/>
        </w:rPr>
        <w:t>at</w:t>
      </w:r>
      <w:r w:rsidR="002952E0">
        <w:rPr>
          <w:rFonts w:ascii="Trebuchet MS" w:hAnsi="Trebuchet MS" w:cs="Verdana"/>
          <w:bCs/>
          <w:sz w:val="24"/>
          <w:szCs w:val="24"/>
        </w:rPr>
        <w:t xml:space="preserve"> source of supply </w:t>
      </w:r>
      <w:r w:rsidR="006E4D91">
        <w:rPr>
          <w:rFonts w:ascii="Trebuchet MS" w:hAnsi="Trebuchet MS" w:cs="Verdana"/>
          <w:bCs/>
          <w:sz w:val="24"/>
          <w:szCs w:val="24"/>
        </w:rPr>
        <w:t xml:space="preserve">was </w:t>
      </w:r>
      <w:r w:rsidR="00DE256F">
        <w:rPr>
          <w:rFonts w:ascii="Trebuchet MS" w:hAnsi="Trebuchet MS" w:cs="Verdana"/>
          <w:bCs/>
          <w:sz w:val="24"/>
          <w:szCs w:val="24"/>
        </w:rPr>
        <w:t xml:space="preserve">excluded </w:t>
      </w:r>
      <w:r w:rsidR="002952E0">
        <w:rPr>
          <w:rFonts w:ascii="Trebuchet MS" w:hAnsi="Trebuchet MS" w:cs="Verdana"/>
          <w:bCs/>
          <w:sz w:val="24"/>
          <w:szCs w:val="24"/>
        </w:rPr>
        <w:t>in th</w:t>
      </w:r>
      <w:r w:rsidR="00093411">
        <w:rPr>
          <w:rFonts w:ascii="Trebuchet MS" w:hAnsi="Trebuchet MS" w:cs="Verdana"/>
          <w:bCs/>
          <w:sz w:val="24"/>
          <w:szCs w:val="24"/>
        </w:rPr>
        <w:t xml:space="preserve">e </w:t>
      </w:r>
      <w:r w:rsidR="002952E0">
        <w:rPr>
          <w:rFonts w:ascii="Trebuchet MS" w:hAnsi="Trebuchet MS" w:cs="Verdana"/>
          <w:bCs/>
          <w:sz w:val="24"/>
          <w:szCs w:val="24"/>
        </w:rPr>
        <w:t>late</w:t>
      </w:r>
      <w:r w:rsidR="00093411">
        <w:rPr>
          <w:rFonts w:ascii="Trebuchet MS" w:hAnsi="Trebuchet MS" w:cs="Verdana"/>
          <w:bCs/>
          <w:sz w:val="24"/>
          <w:szCs w:val="24"/>
        </w:rPr>
        <w:t xml:space="preserve">r BC </w:t>
      </w:r>
      <w:r w:rsidR="002952E0">
        <w:rPr>
          <w:rFonts w:ascii="Trebuchet MS" w:hAnsi="Trebuchet MS" w:cs="Verdana"/>
          <w:bCs/>
          <w:sz w:val="24"/>
          <w:szCs w:val="24"/>
        </w:rPr>
        <w:t xml:space="preserve">evidence, but no justification </w:t>
      </w:r>
      <w:r w:rsidR="00093411">
        <w:rPr>
          <w:rFonts w:ascii="Trebuchet MS" w:hAnsi="Trebuchet MS" w:cs="Verdana"/>
          <w:bCs/>
          <w:sz w:val="24"/>
          <w:szCs w:val="24"/>
        </w:rPr>
        <w:t xml:space="preserve">was </w:t>
      </w:r>
      <w:r w:rsidR="002952E0">
        <w:rPr>
          <w:rFonts w:ascii="Trebuchet MS" w:hAnsi="Trebuchet MS" w:cs="Verdana"/>
          <w:bCs/>
          <w:sz w:val="24"/>
          <w:szCs w:val="24"/>
        </w:rPr>
        <w:t xml:space="preserve">given for why </w:t>
      </w:r>
      <w:r w:rsidR="00DE256F">
        <w:rPr>
          <w:rFonts w:ascii="Trebuchet MS" w:hAnsi="Trebuchet MS" w:cs="Verdana"/>
          <w:bCs/>
          <w:sz w:val="24"/>
          <w:szCs w:val="24"/>
        </w:rPr>
        <w:t>such an</w:t>
      </w:r>
      <w:r w:rsidR="00A12146">
        <w:rPr>
          <w:rFonts w:ascii="Trebuchet MS" w:hAnsi="Trebuchet MS" w:cs="Verdana"/>
          <w:bCs/>
          <w:sz w:val="24"/>
          <w:szCs w:val="24"/>
        </w:rPr>
        <w:t xml:space="preserve"> assumption </w:t>
      </w:r>
      <w:r w:rsidR="008C4132">
        <w:rPr>
          <w:rFonts w:ascii="Trebuchet MS" w:hAnsi="Trebuchet MS" w:cs="Verdana"/>
          <w:bCs/>
          <w:sz w:val="24"/>
          <w:szCs w:val="24"/>
        </w:rPr>
        <w:t xml:space="preserve">has </w:t>
      </w:r>
      <w:r w:rsidR="002952E0">
        <w:rPr>
          <w:rFonts w:ascii="Trebuchet MS" w:hAnsi="Trebuchet MS" w:cs="Verdana"/>
          <w:bCs/>
          <w:sz w:val="24"/>
          <w:szCs w:val="24"/>
        </w:rPr>
        <w:t xml:space="preserve">not </w:t>
      </w:r>
      <w:r w:rsidR="008C4132">
        <w:rPr>
          <w:rFonts w:ascii="Trebuchet MS" w:hAnsi="Trebuchet MS" w:cs="Verdana"/>
          <w:bCs/>
          <w:sz w:val="24"/>
          <w:szCs w:val="24"/>
        </w:rPr>
        <w:t xml:space="preserve">been </w:t>
      </w:r>
      <w:r w:rsidR="002952E0">
        <w:rPr>
          <w:rFonts w:ascii="Trebuchet MS" w:hAnsi="Trebuchet MS" w:cs="Verdana"/>
          <w:bCs/>
          <w:sz w:val="24"/>
          <w:szCs w:val="24"/>
        </w:rPr>
        <w:t>continued</w:t>
      </w:r>
      <w:r w:rsidR="003E3F7C">
        <w:rPr>
          <w:rFonts w:ascii="Trebuchet MS" w:hAnsi="Trebuchet MS" w:cs="Verdana"/>
          <w:bCs/>
          <w:sz w:val="24"/>
          <w:szCs w:val="24"/>
        </w:rPr>
        <w:t xml:space="preserve"> with</w:t>
      </w:r>
      <w:r w:rsidR="006E4D91">
        <w:rPr>
          <w:rFonts w:ascii="Trebuchet MS" w:hAnsi="Trebuchet MS" w:cs="Verdana"/>
          <w:bCs/>
          <w:sz w:val="24"/>
          <w:szCs w:val="24"/>
        </w:rPr>
        <w:t xml:space="preserve"> and it continues to be the case in the Sandwell SHLAA</w:t>
      </w:r>
      <w:r w:rsidR="002952E0">
        <w:rPr>
          <w:rFonts w:ascii="Trebuchet MS" w:hAnsi="Trebuchet MS" w:cs="Verdana"/>
          <w:bCs/>
          <w:sz w:val="24"/>
          <w:szCs w:val="24"/>
        </w:rPr>
        <w:t xml:space="preserve">. </w:t>
      </w:r>
    </w:p>
    <w:p w14:paraId="4A4B4289" w14:textId="77777777" w:rsidR="006E4D91" w:rsidRDefault="006E4D91" w:rsidP="00226AA7">
      <w:pPr>
        <w:jc w:val="both"/>
        <w:rPr>
          <w:rFonts w:ascii="Trebuchet MS" w:hAnsi="Trebuchet MS" w:cs="Verdana"/>
          <w:bCs/>
          <w:sz w:val="24"/>
          <w:szCs w:val="24"/>
        </w:rPr>
      </w:pPr>
    </w:p>
    <w:p w14:paraId="3B0B4A77" w14:textId="75E7A2E9" w:rsidR="006E4D91" w:rsidRPr="003D332B" w:rsidRDefault="007A424F" w:rsidP="006E4D91">
      <w:pPr>
        <w:pStyle w:val="Default"/>
        <w:rPr>
          <w:rFonts w:ascii="Trebuchet MS" w:hAnsi="Trebuchet MS"/>
        </w:rPr>
      </w:pPr>
      <w:r>
        <w:rPr>
          <w:rFonts w:ascii="Trebuchet MS" w:hAnsi="Trebuchet MS"/>
        </w:rPr>
        <w:t xml:space="preserve">3.4.8 </w:t>
      </w:r>
      <w:r w:rsidR="006E4D91">
        <w:rPr>
          <w:rFonts w:ascii="Trebuchet MS" w:hAnsi="Trebuchet MS"/>
        </w:rPr>
        <w:t xml:space="preserve">It does not appear to me </w:t>
      </w:r>
      <w:r w:rsidR="00C71310">
        <w:rPr>
          <w:rFonts w:ascii="Trebuchet MS" w:hAnsi="Trebuchet MS"/>
        </w:rPr>
        <w:t xml:space="preserve">that </w:t>
      </w:r>
      <w:r w:rsidR="006E4D91">
        <w:rPr>
          <w:rFonts w:ascii="Trebuchet MS" w:hAnsi="Trebuchet MS"/>
        </w:rPr>
        <w:t xml:space="preserve">this fulfils </w:t>
      </w:r>
      <w:r w:rsidR="006E4D91" w:rsidRPr="003D332B">
        <w:rPr>
          <w:rFonts w:ascii="Trebuchet MS" w:hAnsi="Trebuchet MS"/>
        </w:rPr>
        <w:t>the NPPF requirement to give ‘great’ weight to windfall provision (</w:t>
      </w:r>
      <w:r w:rsidR="00C71310">
        <w:rPr>
          <w:rFonts w:ascii="Trebuchet MS" w:hAnsi="Trebuchet MS"/>
        </w:rPr>
        <w:t>P</w:t>
      </w:r>
      <w:r w:rsidR="006E4D91" w:rsidRPr="003D332B">
        <w:rPr>
          <w:rFonts w:ascii="Trebuchet MS" w:hAnsi="Trebuchet MS"/>
        </w:rPr>
        <w:t>ara 68) and to consider whether there is robust evidence for a windfall allowance (</w:t>
      </w:r>
      <w:r w:rsidR="00C71310">
        <w:rPr>
          <w:rFonts w:ascii="Trebuchet MS" w:hAnsi="Trebuchet MS"/>
        </w:rPr>
        <w:t>P</w:t>
      </w:r>
      <w:r w:rsidR="006E4D91" w:rsidRPr="003D332B">
        <w:rPr>
          <w:rFonts w:ascii="Trebuchet MS" w:hAnsi="Trebuchet MS"/>
        </w:rPr>
        <w:t xml:space="preserve">ara 70) which can be included in the calculation of housing supply, and which may impact both on whether there is a shortfall and how great that shortfall is. </w:t>
      </w:r>
    </w:p>
    <w:p w14:paraId="0C087208" w14:textId="77777777" w:rsidR="006E4D91" w:rsidRDefault="006E4D91" w:rsidP="00226AA7">
      <w:pPr>
        <w:jc w:val="both"/>
        <w:rPr>
          <w:rFonts w:ascii="Trebuchet MS" w:hAnsi="Trebuchet MS" w:cs="Verdana"/>
          <w:bCs/>
          <w:sz w:val="24"/>
          <w:szCs w:val="24"/>
        </w:rPr>
      </w:pPr>
    </w:p>
    <w:p w14:paraId="5D7D30F0" w14:textId="7DB2F19C" w:rsidR="002952E0" w:rsidRDefault="007A424F" w:rsidP="00226AA7">
      <w:pPr>
        <w:jc w:val="both"/>
        <w:rPr>
          <w:rFonts w:ascii="Trebuchet MS" w:hAnsi="Trebuchet MS"/>
          <w:sz w:val="24"/>
          <w:szCs w:val="24"/>
        </w:rPr>
      </w:pPr>
      <w:r>
        <w:rPr>
          <w:rFonts w:ascii="Trebuchet MS" w:hAnsi="Trebuchet MS" w:cs="Verdana"/>
          <w:bCs/>
          <w:sz w:val="24"/>
          <w:szCs w:val="24"/>
        </w:rPr>
        <w:t xml:space="preserve">3.4.9 </w:t>
      </w:r>
      <w:r w:rsidR="006E4D91" w:rsidRPr="00FA5A1A">
        <w:rPr>
          <w:rFonts w:ascii="Trebuchet MS" w:hAnsi="Trebuchet MS" w:cs="Verdana"/>
          <w:bCs/>
          <w:sz w:val="24"/>
          <w:szCs w:val="24"/>
        </w:rPr>
        <w:t xml:space="preserve">The NPPF clearly defines </w:t>
      </w:r>
      <w:r w:rsidR="006E4D91" w:rsidRPr="00FA5A1A">
        <w:rPr>
          <w:rFonts w:ascii="Trebuchet MS" w:hAnsi="Trebuchet MS"/>
          <w:sz w:val="24"/>
          <w:szCs w:val="24"/>
        </w:rPr>
        <w:t xml:space="preserve">Windfall </w:t>
      </w:r>
      <w:r w:rsidR="00A1592D">
        <w:rPr>
          <w:rFonts w:ascii="Trebuchet MS" w:hAnsi="Trebuchet MS"/>
          <w:sz w:val="24"/>
          <w:szCs w:val="24"/>
        </w:rPr>
        <w:t>S</w:t>
      </w:r>
      <w:r w:rsidR="006E4D91" w:rsidRPr="00FA5A1A">
        <w:rPr>
          <w:rFonts w:ascii="Trebuchet MS" w:hAnsi="Trebuchet MS"/>
          <w:sz w:val="24"/>
          <w:szCs w:val="24"/>
        </w:rPr>
        <w:t>ites as</w:t>
      </w:r>
      <w:r w:rsidR="006E4D91" w:rsidRPr="00FA5A1A">
        <w:rPr>
          <w:rFonts w:ascii="Trebuchet MS" w:hAnsi="Trebuchet MS"/>
          <w:b/>
          <w:bCs/>
          <w:sz w:val="24"/>
          <w:szCs w:val="24"/>
        </w:rPr>
        <w:t xml:space="preserve"> </w:t>
      </w:r>
      <w:r w:rsidR="00A1592D" w:rsidRPr="00A1592D">
        <w:rPr>
          <w:rFonts w:ascii="Trebuchet MS" w:hAnsi="Trebuchet MS"/>
          <w:sz w:val="24"/>
          <w:szCs w:val="24"/>
        </w:rPr>
        <w:t>s</w:t>
      </w:r>
      <w:r w:rsidR="006E4D91" w:rsidRPr="00FA5A1A">
        <w:rPr>
          <w:rFonts w:ascii="Trebuchet MS" w:hAnsi="Trebuchet MS"/>
          <w:sz w:val="24"/>
          <w:szCs w:val="24"/>
        </w:rPr>
        <w:t>ites not specifically identified in the development plan. Despite the approach taken in the Black Country and other plans it does not define windfalls as only sites under 10 dwellings.</w:t>
      </w:r>
    </w:p>
    <w:p w14:paraId="6B900D16" w14:textId="77777777" w:rsidR="00C71310" w:rsidRDefault="00C71310" w:rsidP="00226AA7">
      <w:pPr>
        <w:jc w:val="both"/>
        <w:rPr>
          <w:rFonts w:ascii="Trebuchet MS" w:hAnsi="Trebuchet MS"/>
          <w:sz w:val="24"/>
          <w:szCs w:val="24"/>
        </w:rPr>
      </w:pPr>
    </w:p>
    <w:p w14:paraId="3698AB52" w14:textId="450F09E9" w:rsidR="00C71310" w:rsidRDefault="007A424F" w:rsidP="00226AA7">
      <w:pPr>
        <w:jc w:val="both"/>
        <w:rPr>
          <w:rFonts w:ascii="Trebuchet MS" w:hAnsi="Trebuchet MS"/>
          <w:sz w:val="24"/>
          <w:szCs w:val="24"/>
        </w:rPr>
      </w:pPr>
      <w:r>
        <w:rPr>
          <w:rFonts w:ascii="Trebuchet MS" w:hAnsi="Trebuchet MS"/>
          <w:sz w:val="24"/>
          <w:szCs w:val="24"/>
        </w:rPr>
        <w:t xml:space="preserve">3.4.10 </w:t>
      </w:r>
      <w:r w:rsidR="00C71310">
        <w:rPr>
          <w:rFonts w:ascii="Trebuchet MS" w:hAnsi="Trebuchet MS"/>
          <w:sz w:val="24"/>
          <w:szCs w:val="24"/>
        </w:rPr>
        <w:t xml:space="preserve">Taking the figure of 636 for large windfalls from the BC evidence as well as the 484 from my small windfall calculation would add 1,120 dwellings to the supply. </w:t>
      </w:r>
    </w:p>
    <w:p w14:paraId="57AFCAFF" w14:textId="77777777" w:rsidR="00C71310" w:rsidRDefault="00C71310" w:rsidP="00226AA7">
      <w:pPr>
        <w:jc w:val="both"/>
        <w:rPr>
          <w:rFonts w:ascii="Trebuchet MS" w:hAnsi="Trebuchet MS"/>
          <w:sz w:val="24"/>
          <w:szCs w:val="24"/>
        </w:rPr>
      </w:pPr>
    </w:p>
    <w:p w14:paraId="442D7842" w14:textId="42F8C1C7" w:rsidR="00B568CF" w:rsidRDefault="007A424F" w:rsidP="00226AA7">
      <w:pPr>
        <w:jc w:val="both"/>
        <w:rPr>
          <w:rFonts w:ascii="Trebuchet MS" w:hAnsi="Trebuchet MS"/>
          <w:sz w:val="24"/>
          <w:szCs w:val="24"/>
        </w:rPr>
      </w:pPr>
      <w:r>
        <w:rPr>
          <w:rFonts w:ascii="Trebuchet MS" w:hAnsi="Trebuchet MS"/>
          <w:sz w:val="24"/>
          <w:szCs w:val="24"/>
        </w:rPr>
        <w:t xml:space="preserve">3.4.11 </w:t>
      </w:r>
      <w:r w:rsidR="00C71310">
        <w:rPr>
          <w:rFonts w:ascii="Trebuchet MS" w:hAnsi="Trebuchet MS"/>
          <w:sz w:val="24"/>
          <w:szCs w:val="24"/>
        </w:rPr>
        <w:t xml:space="preserve">However, I suspect this is overly cautious, not least because the 636 figure is both historic and </w:t>
      </w:r>
      <w:r w:rsidR="00B568CF">
        <w:rPr>
          <w:rFonts w:ascii="Trebuchet MS" w:hAnsi="Trebuchet MS"/>
          <w:sz w:val="24"/>
          <w:szCs w:val="24"/>
        </w:rPr>
        <w:t xml:space="preserve">excluded industrial land. </w:t>
      </w:r>
    </w:p>
    <w:p w14:paraId="71FEF928" w14:textId="77777777" w:rsidR="00B568CF" w:rsidRDefault="00B568CF" w:rsidP="00226AA7">
      <w:pPr>
        <w:jc w:val="both"/>
        <w:rPr>
          <w:rFonts w:ascii="Trebuchet MS" w:hAnsi="Trebuchet MS"/>
          <w:sz w:val="24"/>
          <w:szCs w:val="24"/>
        </w:rPr>
      </w:pPr>
    </w:p>
    <w:p w14:paraId="56F91A97" w14:textId="2E19155F" w:rsidR="00C71310" w:rsidRDefault="007A424F" w:rsidP="00226AA7">
      <w:pPr>
        <w:jc w:val="both"/>
        <w:rPr>
          <w:rFonts w:ascii="Trebuchet MS" w:hAnsi="Trebuchet MS"/>
          <w:sz w:val="24"/>
          <w:szCs w:val="24"/>
        </w:rPr>
      </w:pPr>
      <w:r>
        <w:rPr>
          <w:rFonts w:ascii="Trebuchet MS" w:hAnsi="Trebuchet MS"/>
          <w:sz w:val="24"/>
          <w:szCs w:val="24"/>
        </w:rPr>
        <w:lastRenderedPageBreak/>
        <w:t xml:space="preserve">3.4.12 </w:t>
      </w:r>
      <w:r w:rsidR="00B568CF">
        <w:rPr>
          <w:rFonts w:ascii="Trebuchet MS" w:hAnsi="Trebuchet MS"/>
          <w:sz w:val="24"/>
          <w:szCs w:val="24"/>
        </w:rPr>
        <w:t>A</w:t>
      </w:r>
      <w:r w:rsidR="00C71310">
        <w:rPr>
          <w:rFonts w:ascii="Trebuchet MS" w:hAnsi="Trebuchet MS"/>
          <w:sz w:val="24"/>
          <w:szCs w:val="24"/>
        </w:rPr>
        <w:t xml:space="preserve"> review of large windfalls, taking account of both quantitative and qualitative evidence, including the likely higher densities on windfall sites in centres, may provide robust evidence </w:t>
      </w:r>
      <w:r w:rsidR="00B568CF">
        <w:rPr>
          <w:rFonts w:ascii="Trebuchet MS" w:hAnsi="Trebuchet MS"/>
          <w:sz w:val="24"/>
          <w:szCs w:val="24"/>
        </w:rPr>
        <w:t xml:space="preserve">of significantly great supply which can be adopted in </w:t>
      </w:r>
      <w:r w:rsidR="00C71310">
        <w:rPr>
          <w:rFonts w:ascii="Trebuchet MS" w:hAnsi="Trebuchet MS"/>
          <w:sz w:val="24"/>
          <w:szCs w:val="24"/>
        </w:rPr>
        <w:t xml:space="preserve">future iterations of the </w:t>
      </w:r>
      <w:r w:rsidR="00B568CF">
        <w:rPr>
          <w:rFonts w:ascii="Trebuchet MS" w:hAnsi="Trebuchet MS"/>
          <w:sz w:val="24"/>
          <w:szCs w:val="24"/>
        </w:rPr>
        <w:t xml:space="preserve">Sandwell </w:t>
      </w:r>
      <w:r w:rsidR="00C71310">
        <w:rPr>
          <w:rFonts w:ascii="Trebuchet MS" w:hAnsi="Trebuchet MS"/>
          <w:sz w:val="24"/>
          <w:szCs w:val="24"/>
        </w:rPr>
        <w:t>plan.</w:t>
      </w:r>
    </w:p>
    <w:p w14:paraId="5A2EE6A6" w14:textId="77777777" w:rsidR="00B568CF" w:rsidRDefault="00B568CF" w:rsidP="00226AA7">
      <w:pPr>
        <w:jc w:val="both"/>
        <w:rPr>
          <w:rFonts w:ascii="Trebuchet MS" w:hAnsi="Trebuchet MS"/>
          <w:sz w:val="24"/>
          <w:szCs w:val="24"/>
        </w:rPr>
      </w:pPr>
    </w:p>
    <w:p w14:paraId="4ADB35DA" w14:textId="095DE123" w:rsidR="005C3D61" w:rsidRDefault="007A424F" w:rsidP="00226AA7">
      <w:pPr>
        <w:jc w:val="both"/>
        <w:rPr>
          <w:rFonts w:ascii="Trebuchet MS" w:hAnsi="Trebuchet MS" w:cs="Verdana"/>
          <w:bCs/>
          <w:i/>
          <w:iCs/>
          <w:sz w:val="24"/>
          <w:szCs w:val="24"/>
        </w:rPr>
      </w:pPr>
      <w:r>
        <w:rPr>
          <w:rFonts w:ascii="Trebuchet MS" w:hAnsi="Trebuchet MS" w:cs="Verdana"/>
          <w:bCs/>
          <w:i/>
          <w:iCs/>
          <w:sz w:val="24"/>
          <w:szCs w:val="24"/>
        </w:rPr>
        <w:t xml:space="preserve">3.5 </w:t>
      </w:r>
      <w:r w:rsidR="005C3D61">
        <w:rPr>
          <w:rFonts w:ascii="Trebuchet MS" w:hAnsi="Trebuchet MS" w:cs="Verdana"/>
          <w:bCs/>
          <w:i/>
          <w:iCs/>
          <w:sz w:val="24"/>
          <w:szCs w:val="24"/>
        </w:rPr>
        <w:t xml:space="preserve">Discount Rates </w:t>
      </w:r>
    </w:p>
    <w:p w14:paraId="56ADD492" w14:textId="77777777" w:rsidR="005C3D61" w:rsidRDefault="005C3D61" w:rsidP="00226AA7">
      <w:pPr>
        <w:jc w:val="both"/>
        <w:rPr>
          <w:rFonts w:ascii="Trebuchet MS" w:hAnsi="Trebuchet MS" w:cs="Verdana"/>
          <w:bCs/>
          <w:i/>
          <w:iCs/>
          <w:sz w:val="24"/>
          <w:szCs w:val="24"/>
        </w:rPr>
      </w:pPr>
    </w:p>
    <w:p w14:paraId="5D68DBC1" w14:textId="5FFB4A68" w:rsidR="00C71310" w:rsidRDefault="007A424F" w:rsidP="00226AA7">
      <w:pPr>
        <w:jc w:val="both"/>
        <w:rPr>
          <w:rFonts w:ascii="Trebuchet MS" w:hAnsi="Trebuchet MS" w:cs="Verdana"/>
          <w:bCs/>
          <w:sz w:val="24"/>
          <w:szCs w:val="24"/>
        </w:rPr>
      </w:pPr>
      <w:r>
        <w:rPr>
          <w:rFonts w:ascii="Trebuchet MS" w:hAnsi="Trebuchet MS" w:cs="Verdana"/>
          <w:bCs/>
          <w:sz w:val="24"/>
          <w:szCs w:val="24"/>
        </w:rPr>
        <w:t xml:space="preserve">3.5.1 </w:t>
      </w:r>
      <w:r w:rsidR="00BD5E95" w:rsidRPr="00BD5E95">
        <w:rPr>
          <w:rFonts w:ascii="Trebuchet MS" w:hAnsi="Trebuchet MS" w:cs="Verdana"/>
          <w:bCs/>
          <w:sz w:val="24"/>
          <w:szCs w:val="24"/>
        </w:rPr>
        <w:t xml:space="preserve">The discount rate </w:t>
      </w:r>
      <w:r w:rsidR="00E06C21">
        <w:rPr>
          <w:rFonts w:ascii="Trebuchet MS" w:hAnsi="Trebuchet MS" w:cs="Verdana"/>
          <w:bCs/>
          <w:sz w:val="24"/>
          <w:szCs w:val="24"/>
        </w:rPr>
        <w:t xml:space="preserve">in the SHLAA assume 5% for all sites, 10% for allocated sites and 15% for </w:t>
      </w:r>
      <w:r w:rsidR="0040516F">
        <w:rPr>
          <w:rFonts w:ascii="Trebuchet MS" w:hAnsi="Trebuchet MS" w:cs="Verdana"/>
          <w:bCs/>
          <w:sz w:val="24"/>
          <w:szCs w:val="24"/>
        </w:rPr>
        <w:t>sites</w:t>
      </w:r>
      <w:r w:rsidR="00E06C21">
        <w:rPr>
          <w:rFonts w:ascii="Trebuchet MS" w:hAnsi="Trebuchet MS" w:cs="Verdana"/>
          <w:bCs/>
          <w:sz w:val="24"/>
          <w:szCs w:val="24"/>
        </w:rPr>
        <w:t xml:space="preserve"> in occupied employment use</w:t>
      </w:r>
      <w:r w:rsidR="0077611D">
        <w:rPr>
          <w:rFonts w:ascii="Trebuchet MS" w:hAnsi="Trebuchet MS" w:cs="Verdana"/>
          <w:bCs/>
          <w:sz w:val="24"/>
          <w:szCs w:val="24"/>
        </w:rPr>
        <w:t>.</w:t>
      </w:r>
      <w:r w:rsidR="00E06C21">
        <w:rPr>
          <w:rFonts w:ascii="Trebuchet MS" w:hAnsi="Trebuchet MS" w:cs="Verdana"/>
          <w:bCs/>
          <w:sz w:val="24"/>
          <w:szCs w:val="24"/>
        </w:rPr>
        <w:t xml:space="preserve"> </w:t>
      </w:r>
    </w:p>
    <w:p w14:paraId="21AF41AE" w14:textId="77777777" w:rsidR="00C71310" w:rsidRDefault="00C71310" w:rsidP="00226AA7">
      <w:pPr>
        <w:jc w:val="both"/>
        <w:rPr>
          <w:rFonts w:ascii="Trebuchet MS" w:hAnsi="Trebuchet MS" w:cs="Verdana"/>
          <w:bCs/>
          <w:sz w:val="24"/>
          <w:szCs w:val="24"/>
        </w:rPr>
      </w:pPr>
    </w:p>
    <w:p w14:paraId="65C0BFDA" w14:textId="5257ECD7" w:rsidR="0077611D" w:rsidRDefault="007A424F" w:rsidP="00226AA7">
      <w:pPr>
        <w:jc w:val="both"/>
        <w:rPr>
          <w:rFonts w:ascii="Trebuchet MS" w:hAnsi="Trebuchet MS" w:cs="Verdana"/>
          <w:bCs/>
          <w:sz w:val="24"/>
          <w:szCs w:val="24"/>
        </w:rPr>
      </w:pPr>
      <w:r>
        <w:rPr>
          <w:rFonts w:ascii="Trebuchet MS" w:hAnsi="Trebuchet MS" w:cs="Verdana"/>
          <w:bCs/>
          <w:sz w:val="24"/>
          <w:szCs w:val="24"/>
        </w:rPr>
        <w:t>3.5.</w:t>
      </w:r>
      <w:r w:rsidR="000B7AA6">
        <w:rPr>
          <w:rFonts w:ascii="Trebuchet MS" w:hAnsi="Trebuchet MS" w:cs="Verdana"/>
          <w:bCs/>
          <w:sz w:val="24"/>
          <w:szCs w:val="24"/>
        </w:rPr>
        <w:t>2</w:t>
      </w:r>
      <w:r>
        <w:rPr>
          <w:rFonts w:ascii="Trebuchet MS" w:hAnsi="Trebuchet MS" w:cs="Verdana"/>
          <w:bCs/>
          <w:sz w:val="24"/>
          <w:szCs w:val="24"/>
        </w:rPr>
        <w:t xml:space="preserve"> </w:t>
      </w:r>
      <w:r w:rsidR="00E06C21">
        <w:rPr>
          <w:rFonts w:ascii="Trebuchet MS" w:hAnsi="Trebuchet MS" w:cs="Verdana"/>
          <w:bCs/>
          <w:sz w:val="24"/>
          <w:szCs w:val="24"/>
        </w:rPr>
        <w:t xml:space="preserve">There may be some question about the </w:t>
      </w:r>
      <w:r w:rsidR="00C71310">
        <w:rPr>
          <w:rFonts w:ascii="Trebuchet MS" w:hAnsi="Trebuchet MS" w:cs="Verdana"/>
          <w:bCs/>
          <w:sz w:val="24"/>
          <w:szCs w:val="24"/>
        </w:rPr>
        <w:t xml:space="preserve">validity of the </w:t>
      </w:r>
      <w:r w:rsidR="00E06C21">
        <w:rPr>
          <w:rFonts w:ascii="Trebuchet MS" w:hAnsi="Trebuchet MS" w:cs="Verdana"/>
          <w:bCs/>
          <w:sz w:val="24"/>
          <w:szCs w:val="24"/>
        </w:rPr>
        <w:t>later discount given that so many employment sites have now been excluded from the calculation one might assume the remaining sites are more likely to be developed than in the previous Black Country Plan consultation</w:t>
      </w:r>
      <w:r w:rsidR="00C71310">
        <w:rPr>
          <w:rFonts w:ascii="Trebuchet MS" w:hAnsi="Trebuchet MS" w:cs="Verdana"/>
          <w:bCs/>
          <w:sz w:val="24"/>
          <w:szCs w:val="24"/>
        </w:rPr>
        <w:t xml:space="preserve"> and a figure of 10% might be justified which would have some beneficial impacts on supply</w:t>
      </w:r>
      <w:r w:rsidR="00E06C21">
        <w:rPr>
          <w:rFonts w:ascii="Trebuchet MS" w:hAnsi="Trebuchet MS" w:cs="Verdana"/>
          <w:bCs/>
          <w:sz w:val="24"/>
          <w:szCs w:val="24"/>
        </w:rPr>
        <w:t xml:space="preserve">. </w:t>
      </w:r>
    </w:p>
    <w:p w14:paraId="7263D0A1" w14:textId="77777777" w:rsidR="0077611D" w:rsidRDefault="0077611D" w:rsidP="00226AA7">
      <w:pPr>
        <w:jc w:val="both"/>
        <w:rPr>
          <w:rFonts w:ascii="Trebuchet MS" w:hAnsi="Trebuchet MS" w:cs="Verdana"/>
          <w:bCs/>
          <w:sz w:val="24"/>
          <w:szCs w:val="24"/>
        </w:rPr>
      </w:pPr>
    </w:p>
    <w:p w14:paraId="4BA37A35" w14:textId="5C6A7274" w:rsidR="005C3D61" w:rsidRPr="000A5D5C" w:rsidRDefault="007A424F" w:rsidP="00226AA7">
      <w:pPr>
        <w:jc w:val="both"/>
        <w:rPr>
          <w:rFonts w:ascii="Trebuchet MS" w:hAnsi="Trebuchet MS" w:cs="Verdana"/>
          <w:bCs/>
          <w:i/>
          <w:iCs/>
          <w:sz w:val="24"/>
          <w:szCs w:val="24"/>
        </w:rPr>
      </w:pPr>
      <w:r>
        <w:rPr>
          <w:rFonts w:ascii="Trebuchet MS" w:hAnsi="Trebuchet MS"/>
          <w:i/>
          <w:iCs/>
          <w:sz w:val="24"/>
          <w:szCs w:val="24"/>
        </w:rPr>
        <w:t xml:space="preserve">3.6 </w:t>
      </w:r>
      <w:r w:rsidR="005C3D61">
        <w:rPr>
          <w:rFonts w:ascii="Trebuchet MS" w:hAnsi="Trebuchet MS"/>
          <w:i/>
          <w:iCs/>
          <w:sz w:val="24"/>
          <w:szCs w:val="24"/>
        </w:rPr>
        <w:t>Total Supply</w:t>
      </w:r>
    </w:p>
    <w:p w14:paraId="0C662058" w14:textId="77777777" w:rsidR="009C7134" w:rsidRDefault="009C7134" w:rsidP="00226AA7">
      <w:pPr>
        <w:jc w:val="both"/>
        <w:rPr>
          <w:rFonts w:ascii="Trebuchet MS" w:hAnsi="Trebuchet MS" w:cs="Verdana"/>
          <w:bCs/>
          <w:sz w:val="24"/>
          <w:szCs w:val="24"/>
        </w:rPr>
      </w:pPr>
    </w:p>
    <w:p w14:paraId="44F39979" w14:textId="7B56A432" w:rsidR="00316210" w:rsidRDefault="007A424F" w:rsidP="00226AA7">
      <w:pPr>
        <w:jc w:val="both"/>
        <w:rPr>
          <w:rFonts w:ascii="Trebuchet MS" w:hAnsi="Trebuchet MS" w:cs="Verdana"/>
          <w:bCs/>
          <w:sz w:val="24"/>
          <w:szCs w:val="24"/>
        </w:rPr>
      </w:pPr>
      <w:r>
        <w:rPr>
          <w:rFonts w:ascii="Trebuchet MS" w:hAnsi="Trebuchet MS" w:cs="Verdana"/>
          <w:bCs/>
          <w:sz w:val="24"/>
          <w:szCs w:val="24"/>
        </w:rPr>
        <w:t xml:space="preserve">3.6.1 </w:t>
      </w:r>
      <w:r w:rsidR="000E40E2">
        <w:rPr>
          <w:rFonts w:ascii="Trebuchet MS" w:hAnsi="Trebuchet MS" w:cs="Verdana"/>
          <w:bCs/>
          <w:sz w:val="24"/>
          <w:szCs w:val="24"/>
        </w:rPr>
        <w:t xml:space="preserve">At the time of the </w:t>
      </w:r>
      <w:r w:rsidR="00C71310">
        <w:rPr>
          <w:rFonts w:ascii="Trebuchet MS" w:hAnsi="Trebuchet MS" w:cs="Verdana"/>
          <w:bCs/>
          <w:sz w:val="24"/>
          <w:szCs w:val="24"/>
        </w:rPr>
        <w:t xml:space="preserve">2020 </w:t>
      </w:r>
      <w:r w:rsidR="000E40E2">
        <w:rPr>
          <w:rFonts w:ascii="Trebuchet MS" w:hAnsi="Trebuchet MS" w:cs="Verdana"/>
          <w:bCs/>
          <w:sz w:val="24"/>
          <w:szCs w:val="24"/>
        </w:rPr>
        <w:t>Urban Capacity Repo</w:t>
      </w:r>
      <w:r w:rsidR="00C71310">
        <w:rPr>
          <w:rFonts w:ascii="Trebuchet MS" w:hAnsi="Trebuchet MS" w:cs="Verdana"/>
          <w:bCs/>
          <w:sz w:val="24"/>
          <w:szCs w:val="24"/>
        </w:rPr>
        <w:t>r</w:t>
      </w:r>
      <w:r w:rsidR="000E40E2">
        <w:rPr>
          <w:rFonts w:ascii="Trebuchet MS" w:hAnsi="Trebuchet MS" w:cs="Verdana"/>
          <w:bCs/>
          <w:sz w:val="24"/>
          <w:szCs w:val="24"/>
        </w:rPr>
        <w:t>t</w:t>
      </w:r>
      <w:r w:rsidR="00B568CF">
        <w:rPr>
          <w:rFonts w:ascii="Trebuchet MS" w:hAnsi="Trebuchet MS" w:cs="Verdana"/>
          <w:bCs/>
          <w:sz w:val="24"/>
          <w:szCs w:val="24"/>
        </w:rPr>
        <w:t>,</w:t>
      </w:r>
      <w:r w:rsidR="000E40E2">
        <w:rPr>
          <w:rFonts w:ascii="Trebuchet MS" w:hAnsi="Trebuchet MS" w:cs="Verdana"/>
          <w:bCs/>
          <w:sz w:val="24"/>
          <w:szCs w:val="24"/>
        </w:rPr>
        <w:t xml:space="preserve"> I </w:t>
      </w:r>
      <w:r w:rsidR="00A1592D">
        <w:rPr>
          <w:rFonts w:ascii="Trebuchet MS" w:hAnsi="Trebuchet MS" w:cs="Verdana"/>
          <w:bCs/>
          <w:sz w:val="24"/>
          <w:szCs w:val="24"/>
        </w:rPr>
        <w:t xml:space="preserve">concluded that </w:t>
      </w:r>
      <w:r w:rsidR="000E40E2">
        <w:rPr>
          <w:rFonts w:ascii="Trebuchet MS" w:hAnsi="Trebuchet MS" w:cs="Verdana"/>
          <w:bCs/>
          <w:sz w:val="24"/>
          <w:szCs w:val="24"/>
        </w:rPr>
        <w:t xml:space="preserve">it </w:t>
      </w:r>
      <w:r w:rsidR="00C71310">
        <w:rPr>
          <w:rFonts w:ascii="Trebuchet MS" w:hAnsi="Trebuchet MS" w:cs="Verdana"/>
          <w:bCs/>
          <w:sz w:val="24"/>
          <w:szCs w:val="24"/>
        </w:rPr>
        <w:t>d</w:t>
      </w:r>
      <w:r w:rsidR="000E40E2">
        <w:rPr>
          <w:rFonts w:ascii="Trebuchet MS" w:hAnsi="Trebuchet MS" w:cs="Verdana"/>
          <w:bCs/>
          <w:sz w:val="24"/>
          <w:szCs w:val="24"/>
        </w:rPr>
        <w:t>id</w:t>
      </w:r>
      <w:r w:rsidR="001C1B68">
        <w:rPr>
          <w:rFonts w:ascii="Trebuchet MS" w:hAnsi="Trebuchet MS" w:cs="Verdana"/>
          <w:bCs/>
          <w:sz w:val="24"/>
          <w:szCs w:val="24"/>
        </w:rPr>
        <w:t xml:space="preserve"> not seem unreasonable to consider the </w:t>
      </w:r>
      <w:r w:rsidR="000E40E2">
        <w:rPr>
          <w:rFonts w:ascii="Trebuchet MS" w:hAnsi="Trebuchet MS" w:cs="Verdana"/>
          <w:bCs/>
          <w:sz w:val="24"/>
          <w:szCs w:val="24"/>
        </w:rPr>
        <w:t xml:space="preserve">overall Black Country housing </w:t>
      </w:r>
      <w:r w:rsidR="001C1B68">
        <w:rPr>
          <w:rFonts w:ascii="Trebuchet MS" w:hAnsi="Trebuchet MS" w:cs="Verdana"/>
          <w:bCs/>
          <w:sz w:val="24"/>
          <w:szCs w:val="24"/>
        </w:rPr>
        <w:t>shortfall to be closer to 2</w:t>
      </w:r>
      <w:r w:rsidR="00316210">
        <w:rPr>
          <w:rFonts w:ascii="Trebuchet MS" w:hAnsi="Trebuchet MS" w:cs="Verdana"/>
          <w:bCs/>
          <w:sz w:val="24"/>
          <w:szCs w:val="24"/>
        </w:rPr>
        <w:t>5</w:t>
      </w:r>
      <w:r w:rsidR="001C1B68">
        <w:rPr>
          <w:rFonts w:ascii="Trebuchet MS" w:hAnsi="Trebuchet MS" w:cs="Verdana"/>
          <w:bCs/>
          <w:sz w:val="24"/>
          <w:szCs w:val="24"/>
        </w:rPr>
        <w:t>,000 homes, if one relie</w:t>
      </w:r>
      <w:r w:rsidR="00C71310">
        <w:rPr>
          <w:rFonts w:ascii="Trebuchet MS" w:hAnsi="Trebuchet MS" w:cs="Verdana"/>
          <w:bCs/>
          <w:sz w:val="24"/>
          <w:szCs w:val="24"/>
        </w:rPr>
        <w:t>d</w:t>
      </w:r>
      <w:r w:rsidR="001C1B68">
        <w:rPr>
          <w:rFonts w:ascii="Trebuchet MS" w:hAnsi="Trebuchet MS" w:cs="Verdana"/>
          <w:bCs/>
          <w:sz w:val="24"/>
          <w:szCs w:val="24"/>
        </w:rPr>
        <w:t xml:space="preserve"> on the 2014 ONS household need figures</w:t>
      </w:r>
      <w:r w:rsidR="00A22DD7">
        <w:rPr>
          <w:rFonts w:ascii="Trebuchet MS" w:hAnsi="Trebuchet MS" w:cs="Verdana"/>
          <w:bCs/>
          <w:sz w:val="24"/>
          <w:szCs w:val="24"/>
        </w:rPr>
        <w:t>,</w:t>
      </w:r>
      <w:r w:rsidR="001C1B68">
        <w:rPr>
          <w:rFonts w:ascii="Trebuchet MS" w:hAnsi="Trebuchet MS" w:cs="Verdana"/>
          <w:bCs/>
          <w:sz w:val="24"/>
          <w:szCs w:val="24"/>
        </w:rPr>
        <w:t xml:space="preserve"> and perhaps </w:t>
      </w:r>
      <w:r w:rsidR="009322F1">
        <w:rPr>
          <w:rFonts w:ascii="Trebuchet MS" w:hAnsi="Trebuchet MS" w:cs="Verdana"/>
          <w:bCs/>
          <w:sz w:val="24"/>
          <w:szCs w:val="24"/>
        </w:rPr>
        <w:t xml:space="preserve">only </w:t>
      </w:r>
      <w:r w:rsidR="00316210">
        <w:rPr>
          <w:rFonts w:ascii="Trebuchet MS" w:hAnsi="Trebuchet MS" w:cs="Verdana"/>
          <w:bCs/>
          <w:sz w:val="24"/>
          <w:szCs w:val="24"/>
        </w:rPr>
        <w:t>15</w:t>
      </w:r>
      <w:r w:rsidR="001C1B68">
        <w:rPr>
          <w:rFonts w:ascii="Trebuchet MS" w:hAnsi="Trebuchet MS" w:cs="Verdana"/>
          <w:bCs/>
          <w:sz w:val="24"/>
          <w:szCs w:val="24"/>
        </w:rPr>
        <w:t>,000 if one relie</w:t>
      </w:r>
      <w:r w:rsidR="00C71310">
        <w:rPr>
          <w:rFonts w:ascii="Trebuchet MS" w:hAnsi="Trebuchet MS" w:cs="Verdana"/>
          <w:bCs/>
          <w:sz w:val="24"/>
          <w:szCs w:val="24"/>
        </w:rPr>
        <w:t>d</w:t>
      </w:r>
      <w:r w:rsidR="001C1B68">
        <w:rPr>
          <w:rFonts w:ascii="Trebuchet MS" w:hAnsi="Trebuchet MS" w:cs="Verdana"/>
          <w:bCs/>
          <w:sz w:val="24"/>
          <w:szCs w:val="24"/>
        </w:rPr>
        <w:t xml:space="preserve"> on the 2016 figures.</w:t>
      </w:r>
    </w:p>
    <w:p w14:paraId="50539810" w14:textId="77777777" w:rsidR="00316210" w:rsidRDefault="00316210" w:rsidP="00226AA7">
      <w:pPr>
        <w:jc w:val="both"/>
        <w:rPr>
          <w:rFonts w:ascii="Trebuchet MS" w:hAnsi="Trebuchet MS" w:cs="Verdana"/>
          <w:bCs/>
          <w:sz w:val="24"/>
          <w:szCs w:val="24"/>
        </w:rPr>
      </w:pPr>
    </w:p>
    <w:p w14:paraId="31FD873D" w14:textId="2047CE7B" w:rsidR="001C1B68" w:rsidRDefault="007A424F" w:rsidP="00226AA7">
      <w:pPr>
        <w:jc w:val="both"/>
        <w:rPr>
          <w:rFonts w:ascii="Trebuchet MS" w:hAnsi="Trebuchet MS" w:cs="Verdana"/>
          <w:bCs/>
          <w:sz w:val="24"/>
          <w:szCs w:val="24"/>
        </w:rPr>
      </w:pPr>
      <w:r>
        <w:rPr>
          <w:rFonts w:ascii="Trebuchet MS" w:hAnsi="Trebuchet MS" w:cs="Verdana"/>
          <w:bCs/>
          <w:sz w:val="24"/>
          <w:szCs w:val="24"/>
        </w:rPr>
        <w:t xml:space="preserve">3.6.2 </w:t>
      </w:r>
      <w:r w:rsidR="00316210">
        <w:rPr>
          <w:rFonts w:ascii="Trebuchet MS" w:hAnsi="Trebuchet MS" w:cs="Verdana"/>
          <w:bCs/>
          <w:sz w:val="24"/>
          <w:szCs w:val="24"/>
        </w:rPr>
        <w:t xml:space="preserve">Removing the somewhat arbitrary Wolverhampton increase of 35% would </w:t>
      </w:r>
      <w:r w:rsidR="00A1592D">
        <w:rPr>
          <w:rFonts w:ascii="Trebuchet MS" w:hAnsi="Trebuchet MS" w:cs="Verdana"/>
          <w:bCs/>
          <w:sz w:val="24"/>
          <w:szCs w:val="24"/>
        </w:rPr>
        <w:t xml:space="preserve">have </w:t>
      </w:r>
      <w:r w:rsidR="00316210">
        <w:rPr>
          <w:rFonts w:ascii="Trebuchet MS" w:hAnsi="Trebuchet MS" w:cs="Verdana"/>
          <w:bCs/>
          <w:sz w:val="24"/>
          <w:szCs w:val="24"/>
        </w:rPr>
        <w:t>reduce th</w:t>
      </w:r>
      <w:r w:rsidR="00A1592D">
        <w:rPr>
          <w:rFonts w:ascii="Trebuchet MS" w:hAnsi="Trebuchet MS" w:cs="Verdana"/>
          <w:bCs/>
          <w:sz w:val="24"/>
          <w:szCs w:val="24"/>
        </w:rPr>
        <w:t>os</w:t>
      </w:r>
      <w:r w:rsidR="00316210">
        <w:rPr>
          <w:rFonts w:ascii="Trebuchet MS" w:hAnsi="Trebuchet MS" w:cs="Verdana"/>
          <w:bCs/>
          <w:sz w:val="24"/>
          <w:szCs w:val="24"/>
        </w:rPr>
        <w:t xml:space="preserve">e figures to </w:t>
      </w:r>
      <w:r w:rsidR="00C9340E">
        <w:rPr>
          <w:rFonts w:ascii="Trebuchet MS" w:hAnsi="Trebuchet MS" w:cs="Verdana"/>
          <w:bCs/>
          <w:sz w:val="24"/>
          <w:szCs w:val="24"/>
        </w:rPr>
        <w:t xml:space="preserve">potentially </w:t>
      </w:r>
      <w:r w:rsidR="00316210">
        <w:rPr>
          <w:rFonts w:ascii="Trebuchet MS" w:hAnsi="Trebuchet MS" w:cs="Verdana"/>
          <w:bCs/>
          <w:sz w:val="24"/>
          <w:szCs w:val="24"/>
        </w:rPr>
        <w:t>20,000 (ONS2014) and 10,000 (ONS2016)</w:t>
      </w:r>
    </w:p>
    <w:p w14:paraId="45318324" w14:textId="77777777" w:rsidR="000E40E2" w:rsidRDefault="000E40E2" w:rsidP="00226AA7">
      <w:pPr>
        <w:jc w:val="both"/>
        <w:rPr>
          <w:rFonts w:ascii="Trebuchet MS" w:hAnsi="Trebuchet MS" w:cs="Verdana"/>
          <w:bCs/>
          <w:sz w:val="24"/>
          <w:szCs w:val="24"/>
        </w:rPr>
      </w:pPr>
    </w:p>
    <w:p w14:paraId="58FCD340" w14:textId="194C73FD" w:rsidR="00E10157" w:rsidRDefault="007A424F" w:rsidP="00226AA7">
      <w:pPr>
        <w:jc w:val="both"/>
        <w:rPr>
          <w:rFonts w:ascii="Trebuchet MS" w:hAnsi="Trebuchet MS" w:cs="Verdana"/>
          <w:bCs/>
          <w:sz w:val="24"/>
          <w:szCs w:val="24"/>
        </w:rPr>
      </w:pPr>
      <w:r>
        <w:rPr>
          <w:rFonts w:ascii="Trebuchet MS" w:hAnsi="Trebuchet MS" w:cs="Verdana"/>
          <w:bCs/>
          <w:sz w:val="24"/>
          <w:szCs w:val="24"/>
        </w:rPr>
        <w:t xml:space="preserve">3.6.3 </w:t>
      </w:r>
      <w:r w:rsidR="000E40E2">
        <w:rPr>
          <w:rFonts w:ascii="Trebuchet MS" w:hAnsi="Trebuchet MS" w:cs="Verdana"/>
          <w:bCs/>
          <w:sz w:val="24"/>
          <w:szCs w:val="24"/>
        </w:rPr>
        <w:t xml:space="preserve">I </w:t>
      </w:r>
      <w:r w:rsidR="00C71310">
        <w:rPr>
          <w:rFonts w:ascii="Trebuchet MS" w:hAnsi="Trebuchet MS" w:cs="Verdana"/>
          <w:bCs/>
          <w:sz w:val="24"/>
          <w:szCs w:val="24"/>
        </w:rPr>
        <w:t xml:space="preserve">also </w:t>
      </w:r>
      <w:r w:rsidR="000E40E2">
        <w:rPr>
          <w:rFonts w:ascii="Trebuchet MS" w:hAnsi="Trebuchet MS" w:cs="Verdana"/>
          <w:bCs/>
          <w:sz w:val="24"/>
          <w:szCs w:val="24"/>
        </w:rPr>
        <w:t>said that, a</w:t>
      </w:r>
      <w:r w:rsidR="003832B0">
        <w:rPr>
          <w:rFonts w:ascii="Trebuchet MS" w:hAnsi="Trebuchet MS" w:cs="Verdana"/>
          <w:bCs/>
          <w:sz w:val="24"/>
          <w:szCs w:val="24"/>
        </w:rPr>
        <w:t xml:space="preserve">s well as reducing pressure on the Green Belt (and the countryside more widely,) </w:t>
      </w:r>
      <w:r w:rsidR="001C1B68">
        <w:rPr>
          <w:rFonts w:ascii="Trebuchet MS" w:hAnsi="Trebuchet MS" w:cs="Verdana"/>
          <w:bCs/>
          <w:sz w:val="24"/>
          <w:szCs w:val="24"/>
        </w:rPr>
        <w:t xml:space="preserve">a more realistic supply figure </w:t>
      </w:r>
      <w:r w:rsidR="003832B0">
        <w:rPr>
          <w:rFonts w:ascii="Trebuchet MS" w:hAnsi="Trebuchet MS" w:cs="Verdana"/>
          <w:bCs/>
          <w:sz w:val="24"/>
          <w:szCs w:val="24"/>
        </w:rPr>
        <w:t>would encourage housing to be in sustainable locations and help reduce the need to travel.</w:t>
      </w:r>
    </w:p>
    <w:p w14:paraId="0FEC7568" w14:textId="77777777" w:rsidR="00942337" w:rsidRDefault="00942337" w:rsidP="003E3F7C">
      <w:pPr>
        <w:jc w:val="both"/>
        <w:rPr>
          <w:rFonts w:ascii="Trebuchet MS" w:hAnsi="Trebuchet MS" w:cs="Verdana"/>
          <w:bCs/>
          <w:sz w:val="24"/>
          <w:szCs w:val="24"/>
        </w:rPr>
      </w:pPr>
    </w:p>
    <w:p w14:paraId="21FD3279" w14:textId="20F823D2" w:rsidR="000A77AA" w:rsidRDefault="007A424F" w:rsidP="000A77AA">
      <w:pPr>
        <w:ind w:right="333"/>
        <w:rPr>
          <w:rFonts w:ascii="Trebuchet MS" w:hAnsi="Trebuchet MS" w:cs="Arial"/>
          <w:sz w:val="24"/>
          <w:szCs w:val="24"/>
        </w:rPr>
      </w:pPr>
      <w:r>
        <w:rPr>
          <w:rFonts w:ascii="Trebuchet MS" w:hAnsi="Trebuchet MS" w:cs="Verdana"/>
          <w:bCs/>
          <w:sz w:val="24"/>
          <w:szCs w:val="24"/>
        </w:rPr>
        <w:t xml:space="preserve">3.6.4 </w:t>
      </w:r>
      <w:r w:rsidR="000E40E2">
        <w:rPr>
          <w:rFonts w:ascii="Trebuchet MS" w:hAnsi="Trebuchet MS" w:cs="Verdana"/>
          <w:bCs/>
          <w:sz w:val="24"/>
          <w:szCs w:val="24"/>
        </w:rPr>
        <w:t xml:space="preserve">Taking account of the Chilmark review I suggested </w:t>
      </w:r>
      <w:r w:rsidR="000E40E2" w:rsidRPr="000E40E2">
        <w:rPr>
          <w:rFonts w:ascii="Trebuchet MS" w:hAnsi="Trebuchet MS" w:cs="Verdana"/>
          <w:bCs/>
          <w:sz w:val="24"/>
          <w:szCs w:val="24"/>
        </w:rPr>
        <w:t xml:space="preserve">a </w:t>
      </w:r>
      <w:r w:rsidR="00A1592D">
        <w:rPr>
          <w:rFonts w:ascii="Trebuchet MS" w:hAnsi="Trebuchet MS" w:cs="Verdana"/>
          <w:bCs/>
          <w:sz w:val="24"/>
          <w:szCs w:val="24"/>
        </w:rPr>
        <w:t xml:space="preserve">higher </w:t>
      </w:r>
      <w:r w:rsidR="000E40E2" w:rsidRPr="000E40E2">
        <w:rPr>
          <w:rFonts w:ascii="Trebuchet MS" w:hAnsi="Trebuchet MS" w:cs="Verdana"/>
          <w:bCs/>
          <w:sz w:val="24"/>
          <w:szCs w:val="24"/>
        </w:rPr>
        <w:t xml:space="preserve">potential </w:t>
      </w:r>
      <w:r w:rsidR="000E40E2">
        <w:rPr>
          <w:rFonts w:ascii="Trebuchet MS" w:hAnsi="Trebuchet MS" w:cs="Verdana"/>
          <w:bCs/>
          <w:sz w:val="24"/>
          <w:szCs w:val="24"/>
        </w:rPr>
        <w:t xml:space="preserve">BC </w:t>
      </w:r>
      <w:r w:rsidR="000E40E2" w:rsidRPr="000E40E2">
        <w:rPr>
          <w:rFonts w:ascii="Trebuchet MS" w:hAnsi="Trebuchet MS" w:cs="Verdana"/>
          <w:bCs/>
          <w:sz w:val="24"/>
          <w:szCs w:val="24"/>
        </w:rPr>
        <w:t>brownfield supply of 52,321</w:t>
      </w:r>
      <w:r w:rsidR="000A77AA">
        <w:rPr>
          <w:rFonts w:ascii="Trebuchet MS" w:hAnsi="Trebuchet MS" w:cs="Verdana"/>
          <w:bCs/>
          <w:sz w:val="24"/>
          <w:szCs w:val="24"/>
        </w:rPr>
        <w:t xml:space="preserve">. </w:t>
      </w:r>
      <w:r w:rsidR="000A77AA">
        <w:rPr>
          <w:rFonts w:ascii="Trebuchet MS" w:hAnsi="Trebuchet MS" w:cs="Arial"/>
          <w:sz w:val="24"/>
          <w:szCs w:val="24"/>
        </w:rPr>
        <w:t>The resulting shortfall using the SM approach varied between 10,000 and 23,000 approximately, depending on which ONS figures you used and the inclusion of the 35% Wolverham</w:t>
      </w:r>
      <w:r w:rsidR="00C71310">
        <w:rPr>
          <w:rFonts w:ascii="Trebuchet MS" w:hAnsi="Trebuchet MS" w:cs="Arial"/>
          <w:sz w:val="24"/>
          <w:szCs w:val="24"/>
        </w:rPr>
        <w:t>p</w:t>
      </w:r>
      <w:r w:rsidR="000A77AA">
        <w:rPr>
          <w:rFonts w:ascii="Trebuchet MS" w:hAnsi="Trebuchet MS" w:cs="Arial"/>
          <w:sz w:val="24"/>
          <w:szCs w:val="24"/>
        </w:rPr>
        <w:t xml:space="preserve">ton addition. The highest </w:t>
      </w:r>
      <w:r w:rsidR="00A1592D">
        <w:rPr>
          <w:rFonts w:ascii="Trebuchet MS" w:hAnsi="Trebuchet MS" w:cs="Arial"/>
          <w:sz w:val="24"/>
          <w:szCs w:val="24"/>
        </w:rPr>
        <w:t>(</w:t>
      </w:r>
      <w:r w:rsidR="000A77AA">
        <w:rPr>
          <w:rFonts w:ascii="Trebuchet MS" w:hAnsi="Trebuchet MS" w:cs="Arial"/>
          <w:sz w:val="24"/>
          <w:szCs w:val="24"/>
        </w:rPr>
        <w:t xml:space="preserve">based on the current Government </w:t>
      </w:r>
      <w:r w:rsidR="00A1592D">
        <w:rPr>
          <w:rFonts w:ascii="Trebuchet MS" w:hAnsi="Trebuchet MS" w:cs="Arial"/>
          <w:sz w:val="24"/>
          <w:szCs w:val="24"/>
        </w:rPr>
        <w:t xml:space="preserve">SM </w:t>
      </w:r>
      <w:r w:rsidR="000A77AA">
        <w:rPr>
          <w:rFonts w:ascii="Trebuchet MS" w:hAnsi="Trebuchet MS" w:cs="Arial"/>
          <w:sz w:val="24"/>
          <w:szCs w:val="24"/>
        </w:rPr>
        <w:t>Guidance</w:t>
      </w:r>
      <w:r w:rsidR="00A1592D">
        <w:rPr>
          <w:rFonts w:ascii="Trebuchet MS" w:hAnsi="Trebuchet MS" w:cs="Arial"/>
          <w:sz w:val="24"/>
          <w:szCs w:val="24"/>
        </w:rPr>
        <w:t>)</w:t>
      </w:r>
      <w:r w:rsidR="000A77AA">
        <w:rPr>
          <w:rFonts w:ascii="Trebuchet MS" w:hAnsi="Trebuchet MS" w:cs="Arial"/>
          <w:sz w:val="24"/>
          <w:szCs w:val="24"/>
        </w:rPr>
        <w:t xml:space="preserve"> was 23,408.</w:t>
      </w:r>
    </w:p>
    <w:p w14:paraId="649D940C" w14:textId="77777777" w:rsidR="00C71310" w:rsidRDefault="00C71310" w:rsidP="000A77AA">
      <w:pPr>
        <w:ind w:right="333"/>
        <w:rPr>
          <w:rFonts w:ascii="Trebuchet MS" w:hAnsi="Trebuchet MS" w:cs="Arial"/>
          <w:sz w:val="24"/>
          <w:szCs w:val="24"/>
        </w:rPr>
      </w:pPr>
    </w:p>
    <w:p w14:paraId="4192490E" w14:textId="1D6F2CDF" w:rsidR="00392822" w:rsidRDefault="007A424F" w:rsidP="000A77AA">
      <w:pPr>
        <w:ind w:right="333"/>
        <w:rPr>
          <w:rFonts w:ascii="Trebuchet MS" w:hAnsi="Trebuchet MS" w:cs="Arial"/>
          <w:sz w:val="24"/>
          <w:szCs w:val="24"/>
        </w:rPr>
      </w:pPr>
      <w:r>
        <w:rPr>
          <w:rFonts w:ascii="Trebuchet MS" w:hAnsi="Trebuchet MS" w:cs="Arial"/>
          <w:sz w:val="24"/>
          <w:szCs w:val="24"/>
        </w:rPr>
        <w:t xml:space="preserve">3.6.5 </w:t>
      </w:r>
      <w:r w:rsidR="00B568CF">
        <w:rPr>
          <w:rFonts w:ascii="Trebuchet MS" w:hAnsi="Trebuchet MS" w:cs="Arial"/>
          <w:sz w:val="24"/>
          <w:szCs w:val="24"/>
        </w:rPr>
        <w:t xml:space="preserve">In terms of the current </w:t>
      </w:r>
      <w:r w:rsidR="00392822">
        <w:rPr>
          <w:rFonts w:ascii="Trebuchet MS" w:hAnsi="Trebuchet MS" w:cs="Arial"/>
          <w:sz w:val="24"/>
          <w:szCs w:val="24"/>
        </w:rPr>
        <w:t xml:space="preserve">Sandwell </w:t>
      </w:r>
      <w:r w:rsidR="00B568CF">
        <w:rPr>
          <w:rFonts w:ascii="Trebuchet MS" w:hAnsi="Trebuchet MS" w:cs="Arial"/>
          <w:sz w:val="24"/>
          <w:szCs w:val="24"/>
        </w:rPr>
        <w:t>supply, the assumptions on density remain, in my view, cautious</w:t>
      </w:r>
      <w:r w:rsidR="00A1592D">
        <w:rPr>
          <w:rFonts w:ascii="Trebuchet MS" w:hAnsi="Trebuchet MS" w:cs="Arial"/>
          <w:sz w:val="24"/>
          <w:szCs w:val="24"/>
        </w:rPr>
        <w:t>. T</w:t>
      </w:r>
      <w:r w:rsidR="00B568CF">
        <w:rPr>
          <w:rFonts w:ascii="Trebuchet MS" w:hAnsi="Trebuchet MS" w:cs="Arial"/>
          <w:sz w:val="24"/>
          <w:szCs w:val="24"/>
        </w:rPr>
        <w:t xml:space="preserve">here is also a very significant likelihood that more homes can be delivered on both industrial land and in town centre locations. There may be a further adjustment on discounting rates which would </w:t>
      </w:r>
      <w:r w:rsidR="00392822">
        <w:rPr>
          <w:rFonts w:ascii="Trebuchet MS" w:hAnsi="Trebuchet MS" w:cs="Arial"/>
          <w:sz w:val="24"/>
          <w:szCs w:val="24"/>
        </w:rPr>
        <w:t>also have a</w:t>
      </w:r>
      <w:r w:rsidR="00270123">
        <w:rPr>
          <w:rFonts w:ascii="Trebuchet MS" w:hAnsi="Trebuchet MS" w:cs="Arial"/>
          <w:sz w:val="24"/>
          <w:szCs w:val="24"/>
        </w:rPr>
        <w:t>n impact, albeit</w:t>
      </w:r>
      <w:r w:rsidR="00392822">
        <w:rPr>
          <w:rFonts w:ascii="Trebuchet MS" w:hAnsi="Trebuchet MS" w:cs="Arial"/>
          <w:sz w:val="24"/>
          <w:szCs w:val="24"/>
        </w:rPr>
        <w:t xml:space="preserve"> more minor. </w:t>
      </w:r>
    </w:p>
    <w:p w14:paraId="171A3580" w14:textId="77777777" w:rsidR="00392822" w:rsidRDefault="00392822" w:rsidP="000A77AA">
      <w:pPr>
        <w:ind w:right="333"/>
        <w:rPr>
          <w:rFonts w:ascii="Trebuchet MS" w:hAnsi="Trebuchet MS" w:cs="Arial"/>
          <w:sz w:val="24"/>
          <w:szCs w:val="24"/>
        </w:rPr>
      </w:pPr>
    </w:p>
    <w:p w14:paraId="1F22EDC2" w14:textId="015C3363" w:rsidR="00392822" w:rsidRDefault="007A424F" w:rsidP="00392822">
      <w:pPr>
        <w:ind w:right="333"/>
        <w:rPr>
          <w:rFonts w:ascii="Trebuchet MS" w:hAnsi="Trebuchet MS" w:cs="Arial"/>
          <w:sz w:val="24"/>
          <w:szCs w:val="24"/>
        </w:rPr>
      </w:pPr>
      <w:r>
        <w:rPr>
          <w:rFonts w:ascii="Trebuchet MS" w:hAnsi="Trebuchet MS" w:cs="Arial"/>
          <w:sz w:val="24"/>
          <w:szCs w:val="24"/>
        </w:rPr>
        <w:t xml:space="preserve">3.6.6 </w:t>
      </w:r>
      <w:r w:rsidR="00392822">
        <w:rPr>
          <w:rFonts w:ascii="Trebuchet MS" w:hAnsi="Trebuchet MS" w:cs="Arial"/>
          <w:sz w:val="24"/>
          <w:szCs w:val="24"/>
        </w:rPr>
        <w:t xml:space="preserve">I have specifically identified 1,120 additional homes which could be added to the </w:t>
      </w:r>
      <w:r w:rsidR="00270123">
        <w:rPr>
          <w:rFonts w:ascii="Trebuchet MS" w:hAnsi="Trebuchet MS" w:cs="Arial"/>
          <w:sz w:val="24"/>
          <w:szCs w:val="24"/>
        </w:rPr>
        <w:t xml:space="preserve">windfall </w:t>
      </w:r>
      <w:r w:rsidR="00392822">
        <w:rPr>
          <w:rFonts w:ascii="Trebuchet MS" w:hAnsi="Trebuchet MS" w:cs="Arial"/>
          <w:sz w:val="24"/>
          <w:szCs w:val="24"/>
        </w:rPr>
        <w:t>supply, but I expect that is an under-estimate.</w:t>
      </w:r>
    </w:p>
    <w:p w14:paraId="1387227F" w14:textId="77777777" w:rsidR="0029776E" w:rsidRDefault="0029776E" w:rsidP="00392822">
      <w:pPr>
        <w:ind w:right="333"/>
        <w:rPr>
          <w:rFonts w:ascii="Trebuchet MS" w:hAnsi="Trebuchet MS" w:cs="Arial"/>
          <w:sz w:val="24"/>
          <w:szCs w:val="24"/>
        </w:rPr>
      </w:pPr>
    </w:p>
    <w:p w14:paraId="260DB244" w14:textId="5098B79F" w:rsidR="0029776E" w:rsidRDefault="007A424F" w:rsidP="00392822">
      <w:pPr>
        <w:ind w:right="333"/>
        <w:rPr>
          <w:rFonts w:ascii="Trebuchet MS" w:hAnsi="Trebuchet MS" w:cs="Verdana"/>
          <w:bCs/>
          <w:sz w:val="24"/>
          <w:szCs w:val="24"/>
        </w:rPr>
      </w:pPr>
      <w:r>
        <w:rPr>
          <w:rFonts w:ascii="Trebuchet MS" w:hAnsi="Trebuchet MS" w:cs="Arial"/>
          <w:sz w:val="24"/>
          <w:szCs w:val="24"/>
        </w:rPr>
        <w:t xml:space="preserve">3.6.7 </w:t>
      </w:r>
      <w:r w:rsidR="0029776E">
        <w:rPr>
          <w:rFonts w:ascii="Trebuchet MS" w:hAnsi="Trebuchet MS" w:cs="Arial"/>
          <w:sz w:val="24"/>
          <w:szCs w:val="24"/>
        </w:rPr>
        <w:t xml:space="preserve">Based on a </w:t>
      </w:r>
      <w:r>
        <w:rPr>
          <w:rFonts w:ascii="Trebuchet MS" w:hAnsi="Trebuchet MS" w:cs="Arial"/>
          <w:sz w:val="24"/>
          <w:szCs w:val="24"/>
        </w:rPr>
        <w:t>CENSUS</w:t>
      </w:r>
      <w:r w:rsidR="00270123">
        <w:rPr>
          <w:rFonts w:ascii="Trebuchet MS" w:hAnsi="Trebuchet MS" w:cs="Arial"/>
          <w:sz w:val="24"/>
          <w:szCs w:val="24"/>
        </w:rPr>
        <w:t>-</w:t>
      </w:r>
      <w:r>
        <w:rPr>
          <w:rFonts w:ascii="Trebuchet MS" w:hAnsi="Trebuchet MS" w:cs="Arial"/>
          <w:sz w:val="24"/>
          <w:szCs w:val="24"/>
        </w:rPr>
        <w:t xml:space="preserve">based </w:t>
      </w:r>
      <w:r w:rsidR="0029776E">
        <w:rPr>
          <w:rFonts w:ascii="Trebuchet MS" w:hAnsi="Trebuchet MS" w:cs="Arial"/>
          <w:sz w:val="24"/>
          <w:szCs w:val="24"/>
        </w:rPr>
        <w:t>need of 2</w:t>
      </w:r>
      <w:r w:rsidR="00D31EA9">
        <w:rPr>
          <w:rFonts w:ascii="Trebuchet MS" w:hAnsi="Trebuchet MS" w:cs="Arial"/>
          <w:sz w:val="24"/>
          <w:szCs w:val="24"/>
        </w:rPr>
        <w:t>3</w:t>
      </w:r>
      <w:r w:rsidR="0029776E">
        <w:rPr>
          <w:rFonts w:ascii="Trebuchet MS" w:hAnsi="Trebuchet MS" w:cs="Arial"/>
          <w:sz w:val="24"/>
          <w:szCs w:val="24"/>
        </w:rPr>
        <w:t>,</w:t>
      </w:r>
      <w:r w:rsidR="00D31EA9">
        <w:rPr>
          <w:rFonts w:ascii="Trebuchet MS" w:hAnsi="Trebuchet MS" w:cs="Arial"/>
          <w:sz w:val="24"/>
          <w:szCs w:val="24"/>
        </w:rPr>
        <w:t>522</w:t>
      </w:r>
      <w:r w:rsidR="0029776E">
        <w:rPr>
          <w:rFonts w:ascii="Trebuchet MS" w:hAnsi="Trebuchet MS" w:cs="Arial"/>
          <w:sz w:val="24"/>
          <w:szCs w:val="24"/>
        </w:rPr>
        <w:t xml:space="preserve">, </w:t>
      </w:r>
      <w:r w:rsidR="00270123">
        <w:rPr>
          <w:rFonts w:ascii="Trebuchet MS" w:hAnsi="Trebuchet MS" w:cs="Arial"/>
          <w:sz w:val="24"/>
          <w:szCs w:val="24"/>
        </w:rPr>
        <w:t>my</w:t>
      </w:r>
      <w:r w:rsidR="0029776E">
        <w:rPr>
          <w:rFonts w:ascii="Trebuchet MS" w:hAnsi="Trebuchet MS" w:cs="Arial"/>
          <w:sz w:val="24"/>
          <w:szCs w:val="24"/>
        </w:rPr>
        <w:t xml:space="preserve"> very lowest supply side figure would then be 12,287 and the shortfall 1</w:t>
      </w:r>
      <w:r w:rsidR="00D31EA9">
        <w:rPr>
          <w:rFonts w:ascii="Trebuchet MS" w:hAnsi="Trebuchet MS" w:cs="Arial"/>
          <w:sz w:val="24"/>
          <w:szCs w:val="24"/>
        </w:rPr>
        <w:t>1</w:t>
      </w:r>
      <w:r w:rsidR="0029776E">
        <w:rPr>
          <w:rFonts w:ascii="Trebuchet MS" w:hAnsi="Trebuchet MS" w:cs="Arial"/>
          <w:sz w:val="24"/>
          <w:szCs w:val="24"/>
        </w:rPr>
        <w:t>,</w:t>
      </w:r>
      <w:r w:rsidR="00D31EA9">
        <w:rPr>
          <w:rFonts w:ascii="Trebuchet MS" w:hAnsi="Trebuchet MS" w:cs="Arial"/>
          <w:sz w:val="24"/>
          <w:szCs w:val="24"/>
        </w:rPr>
        <w:t>235</w:t>
      </w:r>
      <w:r w:rsidR="0029776E">
        <w:rPr>
          <w:rFonts w:ascii="Trebuchet MS" w:hAnsi="Trebuchet MS" w:cs="Arial"/>
          <w:sz w:val="24"/>
          <w:szCs w:val="24"/>
        </w:rPr>
        <w:t xml:space="preserve">. However, I consider this may still </w:t>
      </w:r>
      <w:r w:rsidR="00270123">
        <w:rPr>
          <w:rFonts w:ascii="Trebuchet MS" w:hAnsi="Trebuchet MS" w:cs="Arial"/>
          <w:sz w:val="24"/>
          <w:szCs w:val="24"/>
        </w:rPr>
        <w:t xml:space="preserve">represent </w:t>
      </w:r>
      <w:r w:rsidR="0029776E">
        <w:rPr>
          <w:rFonts w:ascii="Trebuchet MS" w:hAnsi="Trebuchet MS" w:cs="Arial"/>
          <w:sz w:val="24"/>
          <w:szCs w:val="24"/>
        </w:rPr>
        <w:t xml:space="preserve">a substantial over-estimate of the shortfall and further work should be undertaken to </w:t>
      </w:r>
      <w:r w:rsidR="0029776E">
        <w:rPr>
          <w:rFonts w:ascii="Trebuchet MS" w:hAnsi="Trebuchet MS" w:cs="Arial"/>
          <w:sz w:val="24"/>
          <w:szCs w:val="24"/>
        </w:rPr>
        <w:lastRenderedPageBreak/>
        <w:t>review this, especially as Government guidance on housing calculations may change before the next iteration of the Plan.</w:t>
      </w:r>
    </w:p>
    <w:p w14:paraId="0D287B12" w14:textId="77777777" w:rsidR="007A424F" w:rsidRDefault="007A424F" w:rsidP="003E3F7C">
      <w:pPr>
        <w:jc w:val="both"/>
        <w:rPr>
          <w:rFonts w:ascii="Trebuchet MS" w:hAnsi="Trebuchet MS" w:cs="Verdana"/>
          <w:bCs/>
          <w:sz w:val="24"/>
          <w:szCs w:val="24"/>
        </w:rPr>
      </w:pPr>
    </w:p>
    <w:p w14:paraId="5703E387" w14:textId="77777777" w:rsidR="007A424F" w:rsidRDefault="007A424F" w:rsidP="003E3F7C">
      <w:pPr>
        <w:jc w:val="both"/>
        <w:rPr>
          <w:rFonts w:ascii="Trebuchet MS" w:hAnsi="Trebuchet MS" w:cs="Verdana"/>
          <w:bCs/>
          <w:sz w:val="24"/>
          <w:szCs w:val="24"/>
        </w:rPr>
      </w:pPr>
    </w:p>
    <w:p w14:paraId="7D60C173" w14:textId="77777777" w:rsidR="00270FED" w:rsidRDefault="00270FED" w:rsidP="00226AA7">
      <w:pPr>
        <w:numPr>
          <w:ilvl w:val="0"/>
          <w:numId w:val="19"/>
        </w:numPr>
        <w:jc w:val="both"/>
        <w:rPr>
          <w:rFonts w:ascii="Trebuchet MS" w:hAnsi="Trebuchet MS" w:cs="Verdana"/>
          <w:b/>
          <w:sz w:val="24"/>
          <w:szCs w:val="24"/>
        </w:rPr>
      </w:pPr>
      <w:r>
        <w:rPr>
          <w:rFonts w:ascii="Trebuchet MS" w:hAnsi="Trebuchet MS" w:cs="Verdana"/>
          <w:b/>
          <w:sz w:val="24"/>
          <w:szCs w:val="24"/>
        </w:rPr>
        <w:t>Neighbouring Authorities</w:t>
      </w:r>
    </w:p>
    <w:p w14:paraId="03EA56D9" w14:textId="77777777" w:rsidR="00270FED" w:rsidRDefault="00270FED" w:rsidP="00226AA7">
      <w:pPr>
        <w:jc w:val="both"/>
        <w:rPr>
          <w:rFonts w:ascii="Trebuchet MS" w:hAnsi="Trebuchet MS" w:cs="Verdana"/>
          <w:b/>
          <w:sz w:val="24"/>
          <w:szCs w:val="24"/>
        </w:rPr>
      </w:pPr>
    </w:p>
    <w:p w14:paraId="71BA9301" w14:textId="097E41A5" w:rsidR="00A10986" w:rsidRPr="00392822" w:rsidRDefault="00A10986" w:rsidP="00226AA7">
      <w:pPr>
        <w:jc w:val="both"/>
        <w:rPr>
          <w:rFonts w:ascii="Trebuchet MS" w:hAnsi="Trebuchet MS" w:cs="Verdana"/>
          <w:b/>
          <w:sz w:val="24"/>
          <w:szCs w:val="24"/>
        </w:rPr>
      </w:pPr>
    </w:p>
    <w:p w14:paraId="7BFEA198" w14:textId="77777777" w:rsidR="00270123" w:rsidRDefault="007A424F" w:rsidP="00226AA7">
      <w:pPr>
        <w:jc w:val="both"/>
        <w:rPr>
          <w:rFonts w:ascii="Trebuchet MS" w:eastAsia="Calibri" w:hAnsi="Trebuchet MS" w:cs="Calibri"/>
          <w:sz w:val="24"/>
          <w:szCs w:val="24"/>
        </w:rPr>
      </w:pPr>
      <w:r>
        <w:rPr>
          <w:rFonts w:ascii="Trebuchet MS" w:eastAsia="Calibri" w:hAnsi="Trebuchet MS" w:cs="Calibri"/>
          <w:sz w:val="24"/>
          <w:szCs w:val="24"/>
        </w:rPr>
        <w:t xml:space="preserve">4.1. </w:t>
      </w:r>
      <w:r w:rsidR="0029776E">
        <w:rPr>
          <w:rFonts w:ascii="Trebuchet MS" w:eastAsia="Calibri" w:hAnsi="Trebuchet MS" w:cs="Calibri"/>
          <w:sz w:val="24"/>
          <w:szCs w:val="24"/>
        </w:rPr>
        <w:t>In</w:t>
      </w:r>
      <w:r w:rsidR="00031FA0">
        <w:rPr>
          <w:rFonts w:ascii="Trebuchet MS" w:eastAsia="Calibri" w:hAnsi="Trebuchet MS" w:cs="Calibri"/>
          <w:sz w:val="24"/>
          <w:szCs w:val="24"/>
        </w:rPr>
        <w:t xml:space="preserve"> </w:t>
      </w:r>
      <w:r w:rsidR="0029776E">
        <w:rPr>
          <w:rFonts w:ascii="Trebuchet MS" w:eastAsia="Calibri" w:hAnsi="Trebuchet MS" w:cs="Calibri"/>
          <w:sz w:val="24"/>
          <w:szCs w:val="24"/>
        </w:rPr>
        <w:t xml:space="preserve">terms of </w:t>
      </w:r>
      <w:r w:rsidR="00031FA0">
        <w:rPr>
          <w:rFonts w:ascii="Trebuchet MS" w:eastAsia="Calibri" w:hAnsi="Trebuchet MS" w:cs="Calibri"/>
          <w:sz w:val="24"/>
          <w:szCs w:val="24"/>
        </w:rPr>
        <w:t>neighbouring authorities, we do not have up-to-date housing data from either Wolverhampton or Walsall</w:t>
      </w:r>
      <w:r w:rsidR="00270123">
        <w:rPr>
          <w:rFonts w:ascii="Trebuchet MS" w:eastAsia="Calibri" w:hAnsi="Trebuchet MS" w:cs="Calibri"/>
          <w:sz w:val="24"/>
          <w:szCs w:val="24"/>
        </w:rPr>
        <w:t xml:space="preserve"> although that maybe forthcoming when they publish Regulation 18 Plans, anticipated next year</w:t>
      </w:r>
      <w:r w:rsidR="00031FA0">
        <w:rPr>
          <w:rFonts w:ascii="Trebuchet MS" w:eastAsia="Calibri" w:hAnsi="Trebuchet MS" w:cs="Calibri"/>
          <w:sz w:val="24"/>
          <w:szCs w:val="24"/>
        </w:rPr>
        <w:t xml:space="preserve">. </w:t>
      </w:r>
    </w:p>
    <w:p w14:paraId="3A4AD931" w14:textId="77777777" w:rsidR="00270123" w:rsidRDefault="00270123" w:rsidP="00226AA7">
      <w:pPr>
        <w:jc w:val="both"/>
        <w:rPr>
          <w:rFonts w:ascii="Trebuchet MS" w:eastAsia="Calibri" w:hAnsi="Trebuchet MS" w:cs="Calibri"/>
          <w:sz w:val="24"/>
          <w:szCs w:val="24"/>
        </w:rPr>
      </w:pPr>
    </w:p>
    <w:p w14:paraId="01CF9E0E" w14:textId="2878D2B6" w:rsidR="00031FA0" w:rsidRDefault="00270123" w:rsidP="00226AA7">
      <w:pPr>
        <w:jc w:val="both"/>
        <w:rPr>
          <w:rFonts w:ascii="Trebuchet MS" w:eastAsia="Calibri" w:hAnsi="Trebuchet MS" w:cs="Calibri"/>
          <w:sz w:val="24"/>
          <w:szCs w:val="24"/>
        </w:rPr>
      </w:pPr>
      <w:r>
        <w:rPr>
          <w:rFonts w:ascii="Trebuchet MS" w:eastAsia="Calibri" w:hAnsi="Trebuchet MS" w:cs="Calibri"/>
          <w:sz w:val="24"/>
          <w:szCs w:val="24"/>
        </w:rPr>
        <w:t xml:space="preserve">4.2 The </w:t>
      </w:r>
      <w:r w:rsidR="00031FA0">
        <w:rPr>
          <w:rFonts w:ascii="Trebuchet MS" w:eastAsia="Calibri" w:hAnsi="Trebuchet MS" w:cs="Calibri"/>
          <w:sz w:val="24"/>
          <w:szCs w:val="24"/>
        </w:rPr>
        <w:t xml:space="preserve">South Staffordshire </w:t>
      </w:r>
      <w:r>
        <w:rPr>
          <w:rFonts w:ascii="Trebuchet MS" w:eastAsia="Calibri" w:hAnsi="Trebuchet MS" w:cs="Calibri"/>
          <w:sz w:val="24"/>
          <w:szCs w:val="24"/>
        </w:rPr>
        <w:t xml:space="preserve">Plan </w:t>
      </w:r>
      <w:r w:rsidR="00031FA0">
        <w:rPr>
          <w:rFonts w:ascii="Trebuchet MS" w:eastAsia="Calibri" w:hAnsi="Trebuchet MS" w:cs="Calibri"/>
          <w:sz w:val="24"/>
          <w:szCs w:val="24"/>
        </w:rPr>
        <w:t xml:space="preserve">(currently at hold) and Shropshire </w:t>
      </w:r>
      <w:r>
        <w:rPr>
          <w:rFonts w:ascii="Trebuchet MS" w:eastAsia="Calibri" w:hAnsi="Trebuchet MS" w:cs="Calibri"/>
          <w:sz w:val="24"/>
          <w:szCs w:val="24"/>
        </w:rPr>
        <w:t xml:space="preserve">Plan </w:t>
      </w:r>
      <w:r w:rsidR="00031FA0">
        <w:rPr>
          <w:rFonts w:ascii="Trebuchet MS" w:eastAsia="Calibri" w:hAnsi="Trebuchet MS" w:cs="Calibri"/>
          <w:sz w:val="24"/>
          <w:szCs w:val="24"/>
        </w:rPr>
        <w:t xml:space="preserve">(at examination) both included some housing provision for Black Country need. Birmingham has previously claimed to have a </w:t>
      </w:r>
      <w:r>
        <w:rPr>
          <w:rFonts w:ascii="Trebuchet MS" w:eastAsia="Calibri" w:hAnsi="Trebuchet MS" w:cs="Calibri"/>
          <w:sz w:val="24"/>
          <w:szCs w:val="24"/>
        </w:rPr>
        <w:t xml:space="preserve">housing </w:t>
      </w:r>
      <w:r w:rsidR="00031FA0">
        <w:rPr>
          <w:rFonts w:ascii="Trebuchet MS" w:eastAsia="Calibri" w:hAnsi="Trebuchet MS" w:cs="Calibri"/>
          <w:sz w:val="24"/>
          <w:szCs w:val="24"/>
        </w:rPr>
        <w:t>shortfall</w:t>
      </w:r>
      <w:r>
        <w:rPr>
          <w:rFonts w:ascii="Trebuchet MS" w:eastAsia="Calibri" w:hAnsi="Trebuchet MS" w:cs="Calibri"/>
          <w:sz w:val="24"/>
          <w:szCs w:val="24"/>
        </w:rPr>
        <w:t>,</w:t>
      </w:r>
      <w:r w:rsidR="00031FA0">
        <w:rPr>
          <w:rFonts w:ascii="Trebuchet MS" w:eastAsia="Calibri" w:hAnsi="Trebuchet MS" w:cs="Calibri"/>
          <w:sz w:val="24"/>
          <w:szCs w:val="24"/>
        </w:rPr>
        <w:t xml:space="preserve"> but CPRE </w:t>
      </w:r>
      <w:r>
        <w:rPr>
          <w:rFonts w:ascii="Trebuchet MS" w:eastAsia="Calibri" w:hAnsi="Trebuchet MS" w:cs="Calibri"/>
          <w:sz w:val="24"/>
          <w:szCs w:val="24"/>
        </w:rPr>
        <w:t>w</w:t>
      </w:r>
      <w:r w:rsidR="00031FA0">
        <w:rPr>
          <w:rFonts w:ascii="Trebuchet MS" w:eastAsia="Calibri" w:hAnsi="Trebuchet MS" w:cs="Calibri"/>
          <w:sz w:val="24"/>
          <w:szCs w:val="24"/>
        </w:rPr>
        <w:t>as been concerned that this</w:t>
      </w:r>
      <w:r>
        <w:rPr>
          <w:rFonts w:ascii="Trebuchet MS" w:eastAsia="Calibri" w:hAnsi="Trebuchet MS" w:cs="Calibri"/>
          <w:sz w:val="24"/>
          <w:szCs w:val="24"/>
        </w:rPr>
        <w:t>,</w:t>
      </w:r>
      <w:r w:rsidR="00031FA0">
        <w:rPr>
          <w:rFonts w:ascii="Trebuchet MS" w:eastAsia="Calibri" w:hAnsi="Trebuchet MS" w:cs="Calibri"/>
          <w:sz w:val="24"/>
          <w:szCs w:val="24"/>
        </w:rPr>
        <w:t xml:space="preserve"> at least partly</w:t>
      </w:r>
      <w:r>
        <w:rPr>
          <w:rFonts w:ascii="Trebuchet MS" w:eastAsia="Calibri" w:hAnsi="Trebuchet MS" w:cs="Calibri"/>
          <w:sz w:val="24"/>
          <w:szCs w:val="24"/>
        </w:rPr>
        <w:t>,</w:t>
      </w:r>
      <w:r w:rsidR="00031FA0">
        <w:rPr>
          <w:rFonts w:ascii="Trebuchet MS" w:eastAsia="Calibri" w:hAnsi="Trebuchet MS" w:cs="Calibri"/>
          <w:sz w:val="24"/>
          <w:szCs w:val="24"/>
        </w:rPr>
        <w:t xml:space="preserve"> result</w:t>
      </w:r>
      <w:r>
        <w:rPr>
          <w:rFonts w:ascii="Trebuchet MS" w:eastAsia="Calibri" w:hAnsi="Trebuchet MS" w:cs="Calibri"/>
          <w:sz w:val="24"/>
          <w:szCs w:val="24"/>
        </w:rPr>
        <w:t>ed</w:t>
      </w:r>
      <w:r w:rsidR="00031FA0">
        <w:rPr>
          <w:rFonts w:ascii="Trebuchet MS" w:eastAsia="Calibri" w:hAnsi="Trebuchet MS" w:cs="Calibri"/>
          <w:sz w:val="24"/>
          <w:szCs w:val="24"/>
        </w:rPr>
        <w:t xml:space="preserve"> from an under-estimate of supply, particularly windfalls</w:t>
      </w:r>
      <w:r>
        <w:rPr>
          <w:rFonts w:ascii="Trebuchet MS" w:eastAsia="Calibri" w:hAnsi="Trebuchet MS" w:cs="Calibri"/>
          <w:sz w:val="24"/>
          <w:szCs w:val="24"/>
        </w:rPr>
        <w:t xml:space="preserve"> and from over-estimated need</w:t>
      </w:r>
      <w:r w:rsidR="00031FA0">
        <w:rPr>
          <w:rFonts w:ascii="Trebuchet MS" w:eastAsia="Calibri" w:hAnsi="Trebuchet MS" w:cs="Calibri"/>
          <w:sz w:val="24"/>
          <w:szCs w:val="24"/>
        </w:rPr>
        <w:t>.</w:t>
      </w:r>
    </w:p>
    <w:p w14:paraId="38E65F4E" w14:textId="77777777" w:rsidR="00031FA0" w:rsidRDefault="00031FA0" w:rsidP="00226AA7">
      <w:pPr>
        <w:jc w:val="both"/>
        <w:rPr>
          <w:rFonts w:ascii="Trebuchet MS" w:eastAsia="Calibri" w:hAnsi="Trebuchet MS" w:cs="Calibri"/>
          <w:sz w:val="24"/>
          <w:szCs w:val="24"/>
        </w:rPr>
      </w:pPr>
    </w:p>
    <w:p w14:paraId="1ECB6D2F" w14:textId="5F014629" w:rsidR="00031FA0" w:rsidRDefault="007A424F" w:rsidP="00226AA7">
      <w:pPr>
        <w:jc w:val="both"/>
        <w:rPr>
          <w:rFonts w:ascii="Trebuchet MS" w:eastAsia="Calibri" w:hAnsi="Trebuchet MS" w:cs="Calibri"/>
          <w:sz w:val="24"/>
          <w:szCs w:val="24"/>
        </w:rPr>
      </w:pPr>
      <w:r>
        <w:rPr>
          <w:rFonts w:ascii="Trebuchet MS" w:eastAsia="Calibri" w:hAnsi="Trebuchet MS" w:cs="Calibri"/>
          <w:sz w:val="24"/>
          <w:szCs w:val="24"/>
        </w:rPr>
        <w:t>4.</w:t>
      </w:r>
      <w:r w:rsidR="00270123">
        <w:rPr>
          <w:rFonts w:ascii="Trebuchet MS" w:eastAsia="Calibri" w:hAnsi="Trebuchet MS" w:cs="Calibri"/>
          <w:sz w:val="24"/>
          <w:szCs w:val="24"/>
        </w:rPr>
        <w:t>3</w:t>
      </w:r>
      <w:r>
        <w:rPr>
          <w:rFonts w:ascii="Trebuchet MS" w:eastAsia="Calibri" w:hAnsi="Trebuchet MS" w:cs="Calibri"/>
          <w:sz w:val="24"/>
          <w:szCs w:val="24"/>
        </w:rPr>
        <w:t xml:space="preserve"> </w:t>
      </w:r>
      <w:r w:rsidR="00031FA0">
        <w:rPr>
          <w:rFonts w:ascii="Trebuchet MS" w:eastAsia="Calibri" w:hAnsi="Trebuchet MS" w:cs="Calibri"/>
          <w:sz w:val="24"/>
          <w:szCs w:val="24"/>
        </w:rPr>
        <w:t>That being the case</w:t>
      </w:r>
      <w:r w:rsidR="00270123">
        <w:rPr>
          <w:rFonts w:ascii="Trebuchet MS" w:eastAsia="Calibri" w:hAnsi="Trebuchet MS" w:cs="Calibri"/>
          <w:sz w:val="24"/>
          <w:szCs w:val="24"/>
        </w:rPr>
        <w:t>,</w:t>
      </w:r>
      <w:r w:rsidR="00031FA0">
        <w:rPr>
          <w:rFonts w:ascii="Trebuchet MS" w:eastAsia="Calibri" w:hAnsi="Trebuchet MS" w:cs="Calibri"/>
          <w:sz w:val="24"/>
          <w:szCs w:val="24"/>
        </w:rPr>
        <w:t xml:space="preserve"> </w:t>
      </w:r>
      <w:r w:rsidR="00270123">
        <w:rPr>
          <w:rFonts w:ascii="Trebuchet MS" w:eastAsia="Calibri" w:hAnsi="Trebuchet MS" w:cs="Calibri"/>
          <w:sz w:val="24"/>
          <w:szCs w:val="24"/>
        </w:rPr>
        <w:t xml:space="preserve">I consider </w:t>
      </w:r>
      <w:r w:rsidR="00031FA0">
        <w:rPr>
          <w:rFonts w:ascii="Trebuchet MS" w:eastAsia="Calibri" w:hAnsi="Trebuchet MS" w:cs="Calibri"/>
          <w:sz w:val="24"/>
          <w:szCs w:val="24"/>
        </w:rPr>
        <w:t xml:space="preserve">it </w:t>
      </w:r>
      <w:r w:rsidR="00270123">
        <w:rPr>
          <w:rFonts w:ascii="Trebuchet MS" w:eastAsia="Calibri" w:hAnsi="Trebuchet MS" w:cs="Calibri"/>
          <w:sz w:val="24"/>
          <w:szCs w:val="24"/>
        </w:rPr>
        <w:t xml:space="preserve">would be </w:t>
      </w:r>
      <w:r w:rsidR="00031FA0">
        <w:rPr>
          <w:rFonts w:ascii="Trebuchet MS" w:eastAsia="Calibri" w:hAnsi="Trebuchet MS" w:cs="Calibri"/>
          <w:sz w:val="24"/>
          <w:szCs w:val="24"/>
        </w:rPr>
        <w:t xml:space="preserve">inappropriate </w:t>
      </w:r>
      <w:r w:rsidR="00270123">
        <w:rPr>
          <w:rFonts w:ascii="Trebuchet MS" w:eastAsia="Calibri" w:hAnsi="Trebuchet MS" w:cs="Calibri"/>
          <w:sz w:val="24"/>
          <w:szCs w:val="24"/>
        </w:rPr>
        <w:t xml:space="preserve">for me </w:t>
      </w:r>
      <w:r w:rsidR="00031FA0">
        <w:rPr>
          <w:rFonts w:ascii="Trebuchet MS" w:eastAsia="Calibri" w:hAnsi="Trebuchet MS" w:cs="Calibri"/>
          <w:sz w:val="24"/>
          <w:szCs w:val="24"/>
        </w:rPr>
        <w:t>to speculate at this stage on the extent to which any authority could, or should, accommodate housing to meet any remaining shortfall in Sandwell.</w:t>
      </w:r>
    </w:p>
    <w:p w14:paraId="2D4898C4" w14:textId="77777777" w:rsidR="00031FA0" w:rsidRDefault="00031FA0" w:rsidP="00226AA7">
      <w:pPr>
        <w:jc w:val="both"/>
        <w:rPr>
          <w:rFonts w:ascii="Trebuchet MS" w:eastAsia="Calibri" w:hAnsi="Trebuchet MS" w:cs="Calibri"/>
          <w:sz w:val="24"/>
          <w:szCs w:val="24"/>
        </w:rPr>
      </w:pPr>
    </w:p>
    <w:p w14:paraId="48D989C9" w14:textId="3CC859DC" w:rsidR="00031FA0" w:rsidRPr="007A424F" w:rsidRDefault="007A424F" w:rsidP="007A424F">
      <w:pPr>
        <w:jc w:val="both"/>
        <w:rPr>
          <w:rFonts w:ascii="Trebuchet MS" w:eastAsia="Calibri" w:hAnsi="Trebuchet MS" w:cs="Calibri"/>
          <w:sz w:val="24"/>
          <w:szCs w:val="24"/>
        </w:rPr>
      </w:pPr>
      <w:r>
        <w:rPr>
          <w:rFonts w:ascii="Trebuchet MS" w:eastAsia="Calibri" w:hAnsi="Trebuchet MS" w:cs="Calibri"/>
          <w:sz w:val="24"/>
          <w:szCs w:val="24"/>
        </w:rPr>
        <w:t xml:space="preserve">4.3 </w:t>
      </w:r>
      <w:r w:rsidR="00031FA0" w:rsidRPr="007A424F">
        <w:rPr>
          <w:rFonts w:ascii="Trebuchet MS" w:eastAsia="Calibri" w:hAnsi="Trebuchet MS" w:cs="Calibri"/>
          <w:sz w:val="24"/>
          <w:szCs w:val="24"/>
        </w:rPr>
        <w:t>However, in general terms it is clear that the needs of Sandwell are best met in the Black Country itself or in Birmingham.</w:t>
      </w:r>
    </w:p>
    <w:p w14:paraId="1259EF60" w14:textId="77777777" w:rsidR="00031FA0" w:rsidRDefault="00031FA0" w:rsidP="00226AA7">
      <w:pPr>
        <w:jc w:val="both"/>
        <w:rPr>
          <w:rFonts w:ascii="Trebuchet MS" w:eastAsia="Calibri" w:hAnsi="Trebuchet MS" w:cs="Calibri"/>
          <w:sz w:val="24"/>
          <w:szCs w:val="24"/>
        </w:rPr>
      </w:pPr>
    </w:p>
    <w:p w14:paraId="7DAEF539" w14:textId="77777777" w:rsidR="00D31EA9" w:rsidRDefault="00D31EA9" w:rsidP="00226AA7">
      <w:pPr>
        <w:jc w:val="both"/>
        <w:rPr>
          <w:rFonts w:ascii="Trebuchet MS" w:eastAsia="Calibri" w:hAnsi="Trebuchet MS" w:cs="Calibri"/>
          <w:sz w:val="24"/>
          <w:szCs w:val="24"/>
        </w:rPr>
      </w:pPr>
    </w:p>
    <w:p w14:paraId="54E06059" w14:textId="777A5A14" w:rsidR="007F3BE0" w:rsidRDefault="00D31EA9" w:rsidP="00226AA7">
      <w:pPr>
        <w:numPr>
          <w:ilvl w:val="0"/>
          <w:numId w:val="19"/>
        </w:numPr>
        <w:jc w:val="both"/>
        <w:rPr>
          <w:rFonts w:ascii="Trebuchet MS" w:eastAsia="Calibri" w:hAnsi="Trebuchet MS" w:cs="Calibri"/>
          <w:b/>
          <w:bCs/>
          <w:sz w:val="24"/>
          <w:szCs w:val="24"/>
        </w:rPr>
      </w:pPr>
      <w:r>
        <w:rPr>
          <w:rFonts w:ascii="Trebuchet MS" w:eastAsia="Calibri" w:hAnsi="Trebuchet MS" w:cs="Calibri"/>
          <w:b/>
          <w:bCs/>
          <w:sz w:val="24"/>
          <w:szCs w:val="24"/>
        </w:rPr>
        <w:t>Sandwell Plan Polices</w:t>
      </w:r>
    </w:p>
    <w:p w14:paraId="3EDD2C0B" w14:textId="77777777" w:rsidR="00942337" w:rsidRDefault="00942337" w:rsidP="00226AA7">
      <w:pPr>
        <w:jc w:val="both"/>
        <w:rPr>
          <w:rFonts w:ascii="Trebuchet MS" w:eastAsia="Calibri" w:hAnsi="Trebuchet MS" w:cs="Calibri"/>
          <w:b/>
          <w:bCs/>
          <w:sz w:val="24"/>
          <w:szCs w:val="24"/>
        </w:rPr>
      </w:pPr>
    </w:p>
    <w:p w14:paraId="2FDC9B23" w14:textId="77777777" w:rsidR="00482EA5" w:rsidRDefault="00482EA5" w:rsidP="00226AA7">
      <w:pPr>
        <w:jc w:val="both"/>
        <w:rPr>
          <w:rFonts w:ascii="Trebuchet MS" w:eastAsia="Calibri" w:hAnsi="Trebuchet MS" w:cs="Calibri"/>
          <w:sz w:val="24"/>
          <w:szCs w:val="24"/>
        </w:rPr>
      </w:pPr>
    </w:p>
    <w:p w14:paraId="0EFDC1C6" w14:textId="7619C6B3" w:rsidR="00D31EA9" w:rsidRDefault="007A424F" w:rsidP="00226AA7">
      <w:pPr>
        <w:jc w:val="both"/>
        <w:rPr>
          <w:rFonts w:ascii="Trebuchet MS" w:eastAsia="Calibri" w:hAnsi="Trebuchet MS" w:cs="Calibri"/>
          <w:sz w:val="24"/>
          <w:szCs w:val="24"/>
        </w:rPr>
      </w:pPr>
      <w:r>
        <w:rPr>
          <w:rFonts w:ascii="Trebuchet MS" w:eastAsia="Calibri" w:hAnsi="Trebuchet MS" w:cs="Calibri"/>
          <w:sz w:val="24"/>
          <w:szCs w:val="24"/>
        </w:rPr>
        <w:t xml:space="preserve">5.1 </w:t>
      </w:r>
      <w:r w:rsidR="00D31EA9" w:rsidRPr="00D31EA9">
        <w:rPr>
          <w:rFonts w:ascii="Trebuchet MS" w:eastAsia="Calibri" w:hAnsi="Trebuchet MS" w:cs="Calibri"/>
          <w:sz w:val="24"/>
          <w:szCs w:val="24"/>
        </w:rPr>
        <w:t xml:space="preserve">In terms </w:t>
      </w:r>
      <w:r w:rsidR="00D31EA9">
        <w:rPr>
          <w:rFonts w:ascii="Trebuchet MS" w:eastAsia="Calibri" w:hAnsi="Trebuchet MS" w:cs="Calibri"/>
          <w:sz w:val="24"/>
          <w:szCs w:val="24"/>
        </w:rPr>
        <w:t xml:space="preserve">of the Policies in the Plan CPRE should, therefore consider objecting to the housing supply figure give in Policy </w:t>
      </w:r>
      <w:r w:rsidR="00482EA5">
        <w:rPr>
          <w:rFonts w:ascii="Trebuchet MS" w:eastAsia="Calibri" w:hAnsi="Trebuchet MS" w:cs="Calibri"/>
          <w:sz w:val="24"/>
          <w:szCs w:val="24"/>
        </w:rPr>
        <w:t xml:space="preserve">SDS 1, 1a, suggesting </w:t>
      </w:r>
      <w:r w:rsidR="00270123">
        <w:rPr>
          <w:rFonts w:ascii="Trebuchet MS" w:eastAsia="Calibri" w:hAnsi="Trebuchet MS" w:cs="Calibri"/>
          <w:sz w:val="24"/>
          <w:szCs w:val="24"/>
        </w:rPr>
        <w:t xml:space="preserve">the figure </w:t>
      </w:r>
      <w:r w:rsidR="00482EA5">
        <w:rPr>
          <w:rFonts w:ascii="Trebuchet MS" w:eastAsia="Calibri" w:hAnsi="Trebuchet MS" w:cs="Calibri"/>
          <w:sz w:val="24"/>
          <w:szCs w:val="24"/>
        </w:rPr>
        <w:t xml:space="preserve">is too low. </w:t>
      </w:r>
    </w:p>
    <w:p w14:paraId="53AF2FDF" w14:textId="77777777" w:rsidR="00482EA5" w:rsidRDefault="00482EA5" w:rsidP="00226AA7">
      <w:pPr>
        <w:jc w:val="both"/>
        <w:rPr>
          <w:rFonts w:ascii="Trebuchet MS" w:eastAsia="Calibri" w:hAnsi="Trebuchet MS" w:cs="Calibri"/>
          <w:sz w:val="24"/>
          <w:szCs w:val="24"/>
        </w:rPr>
      </w:pPr>
    </w:p>
    <w:p w14:paraId="76612033" w14:textId="3CAA30EE" w:rsidR="00482EA5" w:rsidRDefault="007A424F" w:rsidP="00226AA7">
      <w:pPr>
        <w:jc w:val="both"/>
        <w:rPr>
          <w:rFonts w:ascii="Trebuchet MS" w:eastAsia="Calibri" w:hAnsi="Trebuchet MS" w:cs="Calibri"/>
          <w:sz w:val="24"/>
          <w:szCs w:val="24"/>
        </w:rPr>
      </w:pPr>
      <w:r>
        <w:rPr>
          <w:rFonts w:ascii="Trebuchet MS" w:eastAsia="Calibri" w:hAnsi="Trebuchet MS" w:cs="Calibri"/>
          <w:sz w:val="24"/>
          <w:szCs w:val="24"/>
        </w:rPr>
        <w:t xml:space="preserve">5.2 </w:t>
      </w:r>
      <w:r w:rsidR="00482EA5">
        <w:rPr>
          <w:rFonts w:ascii="Trebuchet MS" w:eastAsia="Calibri" w:hAnsi="Trebuchet MS" w:cs="Calibri"/>
          <w:sz w:val="24"/>
          <w:szCs w:val="24"/>
        </w:rPr>
        <w:t>Paragraph 3 should also be changed to emphasize the primary role of brownfield land in Birmingham and the Black Country in meeting any additional housing need rather than other authorities. Some of this is addressed in Para 3.18 but should be adopted into the Policy itself.</w:t>
      </w:r>
    </w:p>
    <w:p w14:paraId="224D6B6C" w14:textId="77777777" w:rsidR="00482EA5" w:rsidRDefault="00482EA5" w:rsidP="00226AA7">
      <w:pPr>
        <w:jc w:val="both"/>
        <w:rPr>
          <w:rFonts w:ascii="Trebuchet MS" w:eastAsia="Calibri" w:hAnsi="Trebuchet MS" w:cs="Calibri"/>
          <w:sz w:val="24"/>
          <w:szCs w:val="24"/>
        </w:rPr>
      </w:pPr>
    </w:p>
    <w:p w14:paraId="4497FDB2" w14:textId="573379BE" w:rsidR="007A424F" w:rsidRPr="007A424F" w:rsidRDefault="007A424F" w:rsidP="00270123">
      <w:pPr>
        <w:jc w:val="both"/>
        <w:rPr>
          <w:rFonts w:ascii="Trebuchet MS" w:eastAsia="Calibri" w:hAnsi="Trebuchet MS" w:cs="Calibri"/>
          <w:sz w:val="24"/>
          <w:szCs w:val="24"/>
        </w:rPr>
      </w:pPr>
      <w:r>
        <w:rPr>
          <w:rFonts w:ascii="Trebuchet MS" w:eastAsia="Calibri" w:hAnsi="Trebuchet MS" w:cs="Calibri"/>
          <w:sz w:val="24"/>
          <w:szCs w:val="24"/>
        </w:rPr>
        <w:t xml:space="preserve">5.3 </w:t>
      </w:r>
      <w:r w:rsidR="00482EA5">
        <w:rPr>
          <w:rFonts w:ascii="Trebuchet MS" w:eastAsia="Calibri" w:hAnsi="Trebuchet MS" w:cs="Calibri"/>
          <w:sz w:val="24"/>
          <w:szCs w:val="24"/>
        </w:rPr>
        <w:t>Policy SHO1 set outs the current supply of housing and this should also be review</w:t>
      </w:r>
      <w:r w:rsidR="00270123">
        <w:rPr>
          <w:rFonts w:ascii="Trebuchet MS" w:eastAsia="Calibri" w:hAnsi="Trebuchet MS" w:cs="Calibri"/>
          <w:sz w:val="24"/>
          <w:szCs w:val="24"/>
        </w:rPr>
        <w:t>ed in line with that objection.</w:t>
      </w:r>
    </w:p>
    <w:p w14:paraId="2CFC9CD4" w14:textId="77777777" w:rsidR="007A424F" w:rsidRPr="007A424F" w:rsidRDefault="007A424F" w:rsidP="007A424F">
      <w:pPr>
        <w:rPr>
          <w:rFonts w:ascii="Trebuchet MS" w:eastAsia="Calibri" w:hAnsi="Trebuchet MS" w:cs="Calibri"/>
          <w:sz w:val="24"/>
          <w:szCs w:val="24"/>
        </w:rPr>
      </w:pPr>
    </w:p>
    <w:p w14:paraId="4A68BE22" w14:textId="77777777" w:rsidR="007A424F" w:rsidRPr="007A424F" w:rsidRDefault="007A424F" w:rsidP="007A424F">
      <w:pPr>
        <w:rPr>
          <w:rFonts w:ascii="Trebuchet MS" w:eastAsia="Calibri" w:hAnsi="Trebuchet MS" w:cs="Calibri"/>
          <w:sz w:val="24"/>
          <w:szCs w:val="24"/>
        </w:rPr>
      </w:pPr>
    </w:p>
    <w:p w14:paraId="1E83B067" w14:textId="77777777" w:rsidR="007A424F" w:rsidRDefault="007A424F" w:rsidP="007A424F">
      <w:pPr>
        <w:rPr>
          <w:rFonts w:ascii="Trebuchet MS" w:eastAsia="Calibri" w:hAnsi="Trebuchet MS" w:cs="Calibri"/>
          <w:sz w:val="24"/>
          <w:szCs w:val="24"/>
        </w:rPr>
      </w:pPr>
    </w:p>
    <w:p w14:paraId="12783605" w14:textId="28BD296C" w:rsidR="007A424F" w:rsidRPr="007A424F" w:rsidRDefault="007A424F" w:rsidP="007A424F">
      <w:pPr>
        <w:tabs>
          <w:tab w:val="left" w:pos="1725"/>
        </w:tabs>
        <w:rPr>
          <w:rFonts w:ascii="Trebuchet MS" w:eastAsia="Calibri" w:hAnsi="Trebuchet MS" w:cs="Calibri"/>
          <w:sz w:val="24"/>
          <w:szCs w:val="24"/>
        </w:rPr>
      </w:pPr>
      <w:r>
        <w:rPr>
          <w:rFonts w:ascii="Trebuchet MS" w:eastAsia="Calibri" w:hAnsi="Trebuchet MS" w:cs="Calibri"/>
          <w:sz w:val="24"/>
          <w:szCs w:val="24"/>
        </w:rPr>
        <w:tab/>
      </w:r>
    </w:p>
    <w:sectPr w:rsidR="007A424F" w:rsidRPr="007A424F" w:rsidSect="00F4485A">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134" w:header="794" w:footer="79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45E27" w14:textId="77777777" w:rsidR="00C579E2" w:rsidRDefault="00C579E2">
      <w:r>
        <w:separator/>
      </w:r>
    </w:p>
  </w:endnote>
  <w:endnote w:type="continuationSeparator" w:id="0">
    <w:p w14:paraId="38E8E1ED" w14:textId="77777777" w:rsidR="00C579E2" w:rsidRDefault="00C57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2763" w14:textId="77777777" w:rsidR="00FA2127" w:rsidRDefault="00FA2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2658" w14:textId="1F7D11C5" w:rsidR="00FC4179" w:rsidRPr="009027FF" w:rsidRDefault="00FC4179" w:rsidP="00226AA7">
    <w:pPr>
      <w:pStyle w:val="DefaultText"/>
      <w:tabs>
        <w:tab w:val="left" w:pos="3270"/>
      </w:tabs>
      <w:jc w:val="left"/>
      <w:rPr>
        <w:rFonts w:ascii="Trebuchet MS" w:hAnsi="Trebuchet MS"/>
      </w:rPr>
    </w:pPr>
    <w:r w:rsidRPr="009027FF">
      <w:rPr>
        <w:rFonts w:ascii="Trebuchet MS" w:hAnsi="Trebuchet MS"/>
      </w:rPr>
      <w:t xml:space="preserve">Page No </w:t>
    </w:r>
    <w:r w:rsidR="00C444E9" w:rsidRPr="009027FF">
      <w:rPr>
        <w:rFonts w:ascii="Trebuchet MS" w:hAnsi="Trebuchet MS"/>
      </w:rPr>
      <w:fldChar w:fldCharType="begin"/>
    </w:r>
    <w:r w:rsidRPr="009027FF">
      <w:rPr>
        <w:rFonts w:ascii="Trebuchet MS" w:hAnsi="Trebuchet MS"/>
      </w:rPr>
      <w:instrText>page  \* MERGEFORMAT</w:instrText>
    </w:r>
    <w:r w:rsidR="00C444E9" w:rsidRPr="009027FF">
      <w:rPr>
        <w:rFonts w:ascii="Trebuchet MS" w:hAnsi="Trebuchet MS"/>
      </w:rPr>
      <w:fldChar w:fldCharType="separate"/>
    </w:r>
    <w:r w:rsidR="00B25EE6">
      <w:rPr>
        <w:rFonts w:ascii="Trebuchet MS" w:hAnsi="Trebuchet MS"/>
        <w:noProof/>
      </w:rPr>
      <w:t>19</w:t>
    </w:r>
    <w:r w:rsidR="00C444E9" w:rsidRPr="009027FF">
      <w:rPr>
        <w:rFonts w:ascii="Trebuchet MS" w:hAnsi="Trebuchet MS"/>
      </w:rPr>
      <w:fldChar w:fldCharType="end"/>
    </w:r>
    <w:r>
      <w:rPr>
        <w:rFonts w:ascii="Trebuchet MS" w:hAnsi="Trebuchet MS"/>
      </w:rPr>
      <w:t xml:space="preserve"> of 1</w:t>
    </w:r>
    <w:r w:rsidR="007A424F">
      <w:rPr>
        <w:rFonts w:ascii="Trebuchet MS" w:hAnsi="Trebuchet M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DA05" w14:textId="0BF712F0" w:rsidR="00FC4179" w:rsidRPr="00522841" w:rsidRDefault="00FC4179" w:rsidP="00522841">
    <w:pPr>
      <w:pStyle w:val="DefaultText"/>
      <w:tabs>
        <w:tab w:val="center" w:pos="4680"/>
        <w:tab w:val="right" w:pos="9360"/>
      </w:tabs>
      <w:jc w:val="left"/>
      <w:rPr>
        <w:rFonts w:ascii="Trebuchet MS" w:hAnsi="Trebuchet MS"/>
      </w:rPr>
    </w:pPr>
    <w:r w:rsidRPr="009027FF">
      <w:rPr>
        <w:rFonts w:ascii="Trebuchet MS" w:hAnsi="Trebuchet MS"/>
      </w:rPr>
      <w:t xml:space="preserve">Page No </w:t>
    </w:r>
    <w:r w:rsidR="00C444E9" w:rsidRPr="009027FF">
      <w:rPr>
        <w:rFonts w:ascii="Trebuchet MS" w:hAnsi="Trebuchet MS"/>
      </w:rPr>
      <w:fldChar w:fldCharType="begin"/>
    </w:r>
    <w:r w:rsidRPr="009027FF">
      <w:rPr>
        <w:rFonts w:ascii="Trebuchet MS" w:hAnsi="Trebuchet MS"/>
      </w:rPr>
      <w:instrText>page  \* MERGEFORMAT</w:instrText>
    </w:r>
    <w:r w:rsidR="00C444E9" w:rsidRPr="009027FF">
      <w:rPr>
        <w:rFonts w:ascii="Trebuchet MS" w:hAnsi="Trebuchet MS"/>
      </w:rPr>
      <w:fldChar w:fldCharType="separate"/>
    </w:r>
    <w:r w:rsidR="00B25EE6">
      <w:rPr>
        <w:rFonts w:ascii="Trebuchet MS" w:hAnsi="Trebuchet MS"/>
        <w:noProof/>
      </w:rPr>
      <w:t>1</w:t>
    </w:r>
    <w:r w:rsidR="00C444E9" w:rsidRPr="009027FF">
      <w:rPr>
        <w:rFonts w:ascii="Trebuchet MS" w:hAnsi="Trebuchet MS"/>
      </w:rPr>
      <w:fldChar w:fldCharType="end"/>
    </w:r>
    <w:r>
      <w:rPr>
        <w:rFonts w:ascii="Trebuchet MS" w:hAnsi="Trebuchet MS"/>
      </w:rPr>
      <w:t xml:space="preserve"> of 1</w:t>
    </w:r>
    <w:r w:rsidR="00FA2127">
      <w:rPr>
        <w:rFonts w:ascii="Trebuchet MS" w:hAnsi="Trebuchet M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8936E" w14:textId="77777777" w:rsidR="00C579E2" w:rsidRDefault="00C579E2">
      <w:r>
        <w:separator/>
      </w:r>
    </w:p>
  </w:footnote>
  <w:footnote w:type="continuationSeparator" w:id="0">
    <w:p w14:paraId="64494F6B" w14:textId="77777777" w:rsidR="00C579E2" w:rsidRDefault="00C579E2">
      <w:r>
        <w:continuationSeparator/>
      </w:r>
    </w:p>
  </w:footnote>
  <w:footnote w:id="1">
    <w:p w14:paraId="334946A6" w14:textId="77777777" w:rsidR="00FC4179" w:rsidRPr="00874766" w:rsidRDefault="00FC4179">
      <w:pPr>
        <w:pStyle w:val="FootnoteText"/>
        <w:rPr>
          <w:rFonts w:ascii="Trebuchet MS" w:hAnsi="Trebuchet MS"/>
        </w:rPr>
      </w:pPr>
      <w:r w:rsidRPr="00874766">
        <w:rPr>
          <w:rStyle w:val="FootnoteReference"/>
          <w:rFonts w:ascii="Trebuchet MS" w:hAnsi="Trebuchet MS"/>
        </w:rPr>
        <w:footnoteRef/>
      </w:r>
      <w:r w:rsidRPr="00874766">
        <w:rPr>
          <w:rFonts w:ascii="Trebuchet MS" w:hAnsi="Trebuchet MS"/>
        </w:rPr>
        <w:t xml:space="preserve"> Review of population estimates and projections produced by the Office for National Statistics. </w:t>
      </w:r>
      <w:hyperlink r:id="rId1" w:anchor=":~:text=The%20Office%20for%20Statistics%20Regulation%20has%20today%20published,making%20and%20have%20implications%20for%20many%20other%20statistics." w:history="1">
        <w:r w:rsidRPr="00874766">
          <w:rPr>
            <w:rStyle w:val="Hyperlink"/>
            <w:rFonts w:ascii="Trebuchet MS" w:hAnsi="Trebuchet MS"/>
            <w:b w:val="0"/>
            <w:bCs w:val="0"/>
            <w:color w:val="auto"/>
          </w:rPr>
          <w:t>OSR publishes its review of population estimates and projections produced by the Office for National Statistics – Office for Statistics Regulation (statisticsauthority.gov.uk)</w:t>
        </w:r>
      </w:hyperlink>
      <w:r w:rsidRPr="00874766">
        <w:rPr>
          <w:rFonts w:ascii="Trebuchet MS" w:hAnsi="Trebuchet MS"/>
        </w:rPr>
        <w:t xml:space="preserve"> May 2021</w:t>
      </w:r>
    </w:p>
  </w:footnote>
  <w:footnote w:id="2">
    <w:p w14:paraId="796518D7" w14:textId="77777777" w:rsidR="00576FA1" w:rsidRPr="00736D22" w:rsidRDefault="00576FA1" w:rsidP="00576FA1">
      <w:pPr>
        <w:ind w:right="333"/>
        <w:rPr>
          <w:rFonts w:ascii="Trebuchet MS" w:hAnsi="Trebuchet MS"/>
          <w:i/>
          <w:iCs/>
        </w:rPr>
      </w:pPr>
      <w:r>
        <w:rPr>
          <w:rStyle w:val="FootnoteReference"/>
        </w:rPr>
        <w:footnoteRef/>
      </w:r>
      <w:r>
        <w:t xml:space="preserve"> </w:t>
      </w:r>
      <w:r w:rsidRPr="00736D22">
        <w:rPr>
          <w:rFonts w:ascii="Trebuchet MS" w:hAnsi="Trebuchet MS" w:cs="Arial"/>
          <w:i/>
          <w:iCs/>
          <w:color w:val="0B0C0C"/>
          <w:shd w:val="clear" w:color="auto" w:fill="FFFFFF"/>
        </w:rPr>
        <w:t>Where an alternative approach results in a lower housing need figure than that identified using the standard method, the strategic policy-making authority will need to demonstrate, using robust evidence, that the figure is based on realistic assumptions of demographic growth and that there are exceptional local circumstances that justify deviating from the standard method. This will be tested at examination.</w:t>
      </w:r>
    </w:p>
  </w:footnote>
  <w:footnote w:id="3">
    <w:p w14:paraId="1D281C88" w14:textId="77777777" w:rsidR="00FC4179" w:rsidRPr="00226AA7" w:rsidRDefault="00FC4179">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This is higher than the figure in the Issues and Options of 10,400 </w:t>
      </w:r>
      <w:r>
        <w:rPr>
          <w:rFonts w:ascii="Trebuchet MS" w:hAnsi="Trebuchet MS"/>
        </w:rPr>
        <w:t xml:space="preserve">and the 12,350 from the 2018 SHLAA in the previous update, </w:t>
      </w:r>
      <w:r w:rsidRPr="00226AA7">
        <w:rPr>
          <w:rFonts w:ascii="Trebuchet MS" w:hAnsi="Trebuchet MS"/>
        </w:rPr>
        <w:t>I assume it may include sites not in current use</w:t>
      </w:r>
      <w:r>
        <w:rPr>
          <w:rFonts w:ascii="Trebuchet MS" w:hAnsi="Trebuchet MS"/>
        </w:rPr>
        <w:t xml:space="preserve"> or be based on the 2020 SHLAAs or may have different assumptions about density</w:t>
      </w:r>
      <w:r w:rsidRPr="00226AA7">
        <w:rPr>
          <w:rFonts w:ascii="Trebuchet MS" w:hAnsi="Trebuchet MS"/>
        </w:rPr>
        <w:t>.</w:t>
      </w:r>
      <w:r>
        <w:rPr>
          <w:rFonts w:ascii="Trebuchet MS" w:hAnsi="Trebuchet MS"/>
        </w:rPr>
        <w:t xml:space="preserve"> The BEAR may in due course make this clearer</w:t>
      </w:r>
    </w:p>
  </w:footnote>
  <w:footnote w:id="4">
    <w:p w14:paraId="1E82E61D" w14:textId="77777777" w:rsidR="00093411" w:rsidRPr="00226AA7" w:rsidRDefault="00093411" w:rsidP="00093411">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Urban Capacity Study Para 3.1.22-3.1.3</w:t>
      </w:r>
      <w:r>
        <w:rPr>
          <w:rFonts w:ascii="Trebuchet MS" w:hAnsi="Trebuchet MS"/>
        </w:rPr>
        <w:t>3</w:t>
      </w:r>
    </w:p>
  </w:footnote>
  <w:footnote w:id="5">
    <w:p w14:paraId="220191B6" w14:textId="77777777" w:rsidR="00FC4179" w:rsidRPr="00226AA7" w:rsidRDefault="00FC4179">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Paras 4.22-4.25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ADBE1" w14:textId="77777777" w:rsidR="00FA2127" w:rsidRDefault="00FA2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0036" w14:textId="52B32EA4" w:rsidR="00FC4179" w:rsidRPr="00597029" w:rsidRDefault="00474A4F" w:rsidP="00A10986">
    <w:pPr>
      <w:pStyle w:val="DefaultText"/>
      <w:tabs>
        <w:tab w:val="center" w:pos="4680"/>
        <w:tab w:val="right" w:pos="9360"/>
      </w:tabs>
      <w:jc w:val="right"/>
      <w:rPr>
        <w:rFonts w:ascii="Trebuchet MS" w:hAnsi="Trebuchet MS"/>
      </w:rPr>
    </w:pPr>
    <w:r>
      <w:rPr>
        <w:rFonts w:ascii="Trebuchet MS" w:hAnsi="Trebuchet MS"/>
      </w:rPr>
      <w:t>Sandwell Housing Need and Supply</w:t>
    </w:r>
    <w:r w:rsidR="00EB1BAE">
      <w:rPr>
        <w:rFonts w:ascii="Trebuchet MS" w:hAnsi="Trebuchet MS"/>
      </w:rPr>
      <w:t>/WM CRE/</w:t>
    </w:r>
    <w:r>
      <w:rPr>
        <w:rFonts w:ascii="Trebuchet MS" w:hAnsi="Trebuchet MS"/>
      </w:rPr>
      <w:t xml:space="preserve">December </w:t>
    </w:r>
    <w:r w:rsidR="00FC4179">
      <w:rPr>
        <w:rFonts w:ascii="Trebuchet MS" w:hAnsi="Trebuchet MS"/>
      </w:rPr>
      <w:t>202</w:t>
    </w:r>
    <w:r>
      <w:rPr>
        <w:rFonts w:ascii="Trebuchet MS" w:hAnsi="Trebuchet MS"/>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DE061" w14:textId="77777777" w:rsidR="00FA2127" w:rsidRDefault="00FA21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720"/>
      </w:pPr>
      <w:rPr>
        <w:sz w:val="24"/>
        <w:szCs w:val="24"/>
      </w:rPr>
    </w:lvl>
    <w:lvl w:ilvl="1">
      <w:start w:val="1"/>
      <w:numFmt w:val="decimal"/>
      <w:lvlText w:val="%1.%2"/>
      <w:lvlJc w:val="left"/>
      <w:pPr>
        <w:tabs>
          <w:tab w:val="num" w:pos="0"/>
        </w:tabs>
        <w:ind w:left="720" w:hanging="720"/>
      </w:pPr>
      <w:rPr>
        <w:b w:val="0"/>
        <w:strike w:val="0"/>
        <w:dstrike w:val="0"/>
        <w:kern w:val="1"/>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 w15:restartNumberingAfterBreak="0">
    <w:nsid w:val="091F1BD6"/>
    <w:multiLevelType w:val="hybridMultilevel"/>
    <w:tmpl w:val="406A8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DF6C12"/>
    <w:multiLevelType w:val="hybridMultilevel"/>
    <w:tmpl w:val="EBF6F45E"/>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B46D6"/>
    <w:multiLevelType w:val="hybridMultilevel"/>
    <w:tmpl w:val="AF26CB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641DF2"/>
    <w:multiLevelType w:val="hybridMultilevel"/>
    <w:tmpl w:val="010C8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9D57AF"/>
    <w:multiLevelType w:val="hybridMultilevel"/>
    <w:tmpl w:val="1B726492"/>
    <w:lvl w:ilvl="0" w:tplc="67103CC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E3D13D7"/>
    <w:multiLevelType w:val="multilevel"/>
    <w:tmpl w:val="18DACE5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0AA1DB6"/>
    <w:multiLevelType w:val="hybridMultilevel"/>
    <w:tmpl w:val="28E421BE"/>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8" w15:restartNumberingAfterBreak="0">
    <w:nsid w:val="3705676C"/>
    <w:multiLevelType w:val="hybridMultilevel"/>
    <w:tmpl w:val="8200D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833830"/>
    <w:multiLevelType w:val="hybridMultilevel"/>
    <w:tmpl w:val="F5A8C2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465AD7"/>
    <w:multiLevelType w:val="hybridMultilevel"/>
    <w:tmpl w:val="38269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740A44"/>
    <w:multiLevelType w:val="hybridMultilevel"/>
    <w:tmpl w:val="E44A6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0C2287"/>
    <w:multiLevelType w:val="hybridMultilevel"/>
    <w:tmpl w:val="5D644F80"/>
    <w:lvl w:ilvl="0" w:tplc="805A8A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A239F6"/>
    <w:multiLevelType w:val="hybridMultilevel"/>
    <w:tmpl w:val="AC9C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AB016F"/>
    <w:multiLevelType w:val="hybridMultilevel"/>
    <w:tmpl w:val="96C23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D4029F"/>
    <w:multiLevelType w:val="multilevel"/>
    <w:tmpl w:val="6D20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787184"/>
    <w:multiLevelType w:val="multilevel"/>
    <w:tmpl w:val="905EF6B4"/>
    <w:lvl w:ilvl="0">
      <w:start w:val="1"/>
      <w:numFmt w:val="decimal"/>
      <w:pStyle w:val="Level1"/>
      <w:lvlText w:val="%1."/>
      <w:lvlJc w:val="left"/>
      <w:pPr>
        <w:tabs>
          <w:tab w:val="num" w:pos="851"/>
        </w:tabs>
        <w:ind w:left="851" w:hanging="851"/>
      </w:pPr>
      <w:rPr>
        <w:rFonts w:hint="default"/>
        <w:b/>
        <w:i w:val="0"/>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17" w15:restartNumberingAfterBreak="0">
    <w:nsid w:val="62DB42D5"/>
    <w:multiLevelType w:val="hybridMultilevel"/>
    <w:tmpl w:val="3082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9834BD"/>
    <w:multiLevelType w:val="hybridMultilevel"/>
    <w:tmpl w:val="E1DE9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11746A"/>
    <w:multiLevelType w:val="hybridMultilevel"/>
    <w:tmpl w:val="A5DEA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EE4FAD"/>
    <w:multiLevelType w:val="multilevel"/>
    <w:tmpl w:val="0BE2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3440235">
    <w:abstractNumId w:val="0"/>
  </w:num>
  <w:num w:numId="2" w16cid:durableId="1996568155">
    <w:abstractNumId w:val="11"/>
  </w:num>
  <w:num w:numId="3" w16cid:durableId="598099669">
    <w:abstractNumId w:val="20"/>
  </w:num>
  <w:num w:numId="4" w16cid:durableId="1868106584">
    <w:abstractNumId w:val="18"/>
  </w:num>
  <w:num w:numId="5" w16cid:durableId="372002545">
    <w:abstractNumId w:val="17"/>
  </w:num>
  <w:num w:numId="6" w16cid:durableId="1840191673">
    <w:abstractNumId w:val="9"/>
  </w:num>
  <w:num w:numId="7" w16cid:durableId="1452287769">
    <w:abstractNumId w:val="8"/>
  </w:num>
  <w:num w:numId="8" w16cid:durableId="284242729">
    <w:abstractNumId w:val="13"/>
  </w:num>
  <w:num w:numId="9" w16cid:durableId="1137914549">
    <w:abstractNumId w:val="16"/>
  </w:num>
  <w:num w:numId="10" w16cid:durableId="330646999">
    <w:abstractNumId w:val="1"/>
  </w:num>
  <w:num w:numId="11" w16cid:durableId="1300064953">
    <w:abstractNumId w:val="10"/>
  </w:num>
  <w:num w:numId="12" w16cid:durableId="1576864184">
    <w:abstractNumId w:val="12"/>
  </w:num>
  <w:num w:numId="13" w16cid:durableId="1306155909">
    <w:abstractNumId w:val="14"/>
  </w:num>
  <w:num w:numId="14" w16cid:durableId="141408940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15" w16cid:durableId="134300641">
    <w:abstractNumId w:val="7"/>
  </w:num>
  <w:num w:numId="16" w16cid:durableId="1148939898">
    <w:abstractNumId w:val="5"/>
  </w:num>
  <w:num w:numId="17" w16cid:durableId="974989601">
    <w:abstractNumId w:val="3"/>
  </w:num>
  <w:num w:numId="18" w16cid:durableId="1663924882">
    <w:abstractNumId w:val="2"/>
  </w:num>
  <w:num w:numId="19" w16cid:durableId="225605153">
    <w:abstractNumId w:val="6"/>
  </w:num>
  <w:num w:numId="20" w16cid:durableId="2008364749">
    <w:abstractNumId w:val="4"/>
  </w:num>
  <w:num w:numId="21" w16cid:durableId="21297364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autoHyphenation/>
  <w:hyphenationZone w:val="0"/>
  <w:doNotHyphenateCaps/>
  <w:drawingGridHorizontalSpacing w:val="100"/>
  <w:drawingGridVerticalSpacing w:val="120"/>
  <w:displayHorizontalDrawingGridEvery w:val="2"/>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02"/>
    <w:rsid w:val="00000CAE"/>
    <w:rsid w:val="0000108D"/>
    <w:rsid w:val="00003FBC"/>
    <w:rsid w:val="00006F05"/>
    <w:rsid w:val="00011544"/>
    <w:rsid w:val="00016412"/>
    <w:rsid w:val="00017257"/>
    <w:rsid w:val="00017C99"/>
    <w:rsid w:val="00022280"/>
    <w:rsid w:val="000236A9"/>
    <w:rsid w:val="00025755"/>
    <w:rsid w:val="0002787B"/>
    <w:rsid w:val="00031FA0"/>
    <w:rsid w:val="00033420"/>
    <w:rsid w:val="0003612E"/>
    <w:rsid w:val="00040FA8"/>
    <w:rsid w:val="00043304"/>
    <w:rsid w:val="000450FB"/>
    <w:rsid w:val="00051589"/>
    <w:rsid w:val="00052D20"/>
    <w:rsid w:val="00053E4D"/>
    <w:rsid w:val="000544A1"/>
    <w:rsid w:val="00062BD6"/>
    <w:rsid w:val="000637A5"/>
    <w:rsid w:val="000662A3"/>
    <w:rsid w:val="00073B85"/>
    <w:rsid w:val="000750F9"/>
    <w:rsid w:val="000821E8"/>
    <w:rsid w:val="00087916"/>
    <w:rsid w:val="00093411"/>
    <w:rsid w:val="000A01AE"/>
    <w:rsid w:val="000A0CFD"/>
    <w:rsid w:val="000A59D7"/>
    <w:rsid w:val="000A5D5C"/>
    <w:rsid w:val="000A654A"/>
    <w:rsid w:val="000A77AA"/>
    <w:rsid w:val="000A7956"/>
    <w:rsid w:val="000B0A9C"/>
    <w:rsid w:val="000B18E5"/>
    <w:rsid w:val="000B21B9"/>
    <w:rsid w:val="000B7406"/>
    <w:rsid w:val="000B7AA6"/>
    <w:rsid w:val="000C545C"/>
    <w:rsid w:val="000D4A49"/>
    <w:rsid w:val="000D5267"/>
    <w:rsid w:val="000D637A"/>
    <w:rsid w:val="000E0013"/>
    <w:rsid w:val="000E283F"/>
    <w:rsid w:val="000E40E2"/>
    <w:rsid w:val="000E4690"/>
    <w:rsid w:val="000E55A7"/>
    <w:rsid w:val="000E7B38"/>
    <w:rsid w:val="001006B5"/>
    <w:rsid w:val="00101917"/>
    <w:rsid w:val="00114528"/>
    <w:rsid w:val="001147A9"/>
    <w:rsid w:val="00114893"/>
    <w:rsid w:val="001154D4"/>
    <w:rsid w:val="001158E5"/>
    <w:rsid w:val="00116EDD"/>
    <w:rsid w:val="00117B0D"/>
    <w:rsid w:val="001340AF"/>
    <w:rsid w:val="00143B9D"/>
    <w:rsid w:val="00153288"/>
    <w:rsid w:val="001540F6"/>
    <w:rsid w:val="001566C1"/>
    <w:rsid w:val="001571C9"/>
    <w:rsid w:val="00157B22"/>
    <w:rsid w:val="00160011"/>
    <w:rsid w:val="00165533"/>
    <w:rsid w:val="00167FC0"/>
    <w:rsid w:val="00177876"/>
    <w:rsid w:val="0018017A"/>
    <w:rsid w:val="00184D2C"/>
    <w:rsid w:val="0018508E"/>
    <w:rsid w:val="001909C9"/>
    <w:rsid w:val="00195502"/>
    <w:rsid w:val="00196A49"/>
    <w:rsid w:val="0019765F"/>
    <w:rsid w:val="0019788A"/>
    <w:rsid w:val="001A7443"/>
    <w:rsid w:val="001B1034"/>
    <w:rsid w:val="001B23F5"/>
    <w:rsid w:val="001B59BD"/>
    <w:rsid w:val="001C1A1C"/>
    <w:rsid w:val="001C1B68"/>
    <w:rsid w:val="001C787F"/>
    <w:rsid w:val="001D089C"/>
    <w:rsid w:val="001D09A7"/>
    <w:rsid w:val="001D330B"/>
    <w:rsid w:val="001D3AA9"/>
    <w:rsid w:val="001D499D"/>
    <w:rsid w:val="001D6DC8"/>
    <w:rsid w:val="001F4C29"/>
    <w:rsid w:val="001F6389"/>
    <w:rsid w:val="00201376"/>
    <w:rsid w:val="002015E5"/>
    <w:rsid w:val="00202345"/>
    <w:rsid w:val="00204533"/>
    <w:rsid w:val="00205B50"/>
    <w:rsid w:val="00221CA3"/>
    <w:rsid w:val="00226AA7"/>
    <w:rsid w:val="002307CF"/>
    <w:rsid w:val="0023116F"/>
    <w:rsid w:val="002374FD"/>
    <w:rsid w:val="00240826"/>
    <w:rsid w:val="00241D06"/>
    <w:rsid w:val="0024299E"/>
    <w:rsid w:val="00242F44"/>
    <w:rsid w:val="00244C86"/>
    <w:rsid w:val="0024699D"/>
    <w:rsid w:val="00251CF8"/>
    <w:rsid w:val="002563EA"/>
    <w:rsid w:val="00267CBE"/>
    <w:rsid w:val="00270123"/>
    <w:rsid w:val="00270FED"/>
    <w:rsid w:val="0027156B"/>
    <w:rsid w:val="00273512"/>
    <w:rsid w:val="002754C2"/>
    <w:rsid w:val="0028008C"/>
    <w:rsid w:val="0028186F"/>
    <w:rsid w:val="002843E1"/>
    <w:rsid w:val="00285B56"/>
    <w:rsid w:val="0029123E"/>
    <w:rsid w:val="002952E0"/>
    <w:rsid w:val="002953D6"/>
    <w:rsid w:val="0029776E"/>
    <w:rsid w:val="002A1AE4"/>
    <w:rsid w:val="002A23A5"/>
    <w:rsid w:val="002A60F6"/>
    <w:rsid w:val="002A7C7E"/>
    <w:rsid w:val="002B2344"/>
    <w:rsid w:val="002B2C03"/>
    <w:rsid w:val="002B4548"/>
    <w:rsid w:val="002B5E6E"/>
    <w:rsid w:val="002B6D69"/>
    <w:rsid w:val="002C4996"/>
    <w:rsid w:val="002C696F"/>
    <w:rsid w:val="002D2A0E"/>
    <w:rsid w:val="002D6242"/>
    <w:rsid w:val="002D7F68"/>
    <w:rsid w:val="002E17BD"/>
    <w:rsid w:val="002E30AF"/>
    <w:rsid w:val="002E585B"/>
    <w:rsid w:val="002E678B"/>
    <w:rsid w:val="002F043F"/>
    <w:rsid w:val="002F263B"/>
    <w:rsid w:val="002F26D0"/>
    <w:rsid w:val="002F404D"/>
    <w:rsid w:val="002F6B23"/>
    <w:rsid w:val="002F7AE7"/>
    <w:rsid w:val="00316210"/>
    <w:rsid w:val="003227E9"/>
    <w:rsid w:val="00324EA9"/>
    <w:rsid w:val="00331D2F"/>
    <w:rsid w:val="003335B2"/>
    <w:rsid w:val="00341733"/>
    <w:rsid w:val="00347C02"/>
    <w:rsid w:val="0035684C"/>
    <w:rsid w:val="00360F50"/>
    <w:rsid w:val="0036110C"/>
    <w:rsid w:val="00365213"/>
    <w:rsid w:val="0037148E"/>
    <w:rsid w:val="00376358"/>
    <w:rsid w:val="00382667"/>
    <w:rsid w:val="003832B0"/>
    <w:rsid w:val="00383D8F"/>
    <w:rsid w:val="00387923"/>
    <w:rsid w:val="00390E59"/>
    <w:rsid w:val="00392183"/>
    <w:rsid w:val="00392822"/>
    <w:rsid w:val="00392E7C"/>
    <w:rsid w:val="003A14AC"/>
    <w:rsid w:val="003A2E3B"/>
    <w:rsid w:val="003B24A1"/>
    <w:rsid w:val="003B2C0A"/>
    <w:rsid w:val="003B5F7E"/>
    <w:rsid w:val="003B75B1"/>
    <w:rsid w:val="003C52D8"/>
    <w:rsid w:val="003C7DF2"/>
    <w:rsid w:val="003D3C3B"/>
    <w:rsid w:val="003D4D6D"/>
    <w:rsid w:val="003D5A5A"/>
    <w:rsid w:val="003E0EB1"/>
    <w:rsid w:val="003E1740"/>
    <w:rsid w:val="003E3F7C"/>
    <w:rsid w:val="003F2C0B"/>
    <w:rsid w:val="003F6B48"/>
    <w:rsid w:val="004006D8"/>
    <w:rsid w:val="00401A64"/>
    <w:rsid w:val="00402E02"/>
    <w:rsid w:val="00403744"/>
    <w:rsid w:val="0040516F"/>
    <w:rsid w:val="00407422"/>
    <w:rsid w:val="00410FDC"/>
    <w:rsid w:val="00411D7C"/>
    <w:rsid w:val="00416716"/>
    <w:rsid w:val="004175A3"/>
    <w:rsid w:val="00420485"/>
    <w:rsid w:val="00421809"/>
    <w:rsid w:val="00424C1F"/>
    <w:rsid w:val="00427921"/>
    <w:rsid w:val="0043257E"/>
    <w:rsid w:val="00435A6A"/>
    <w:rsid w:val="004403E0"/>
    <w:rsid w:val="0044111B"/>
    <w:rsid w:val="004423EE"/>
    <w:rsid w:val="004549F7"/>
    <w:rsid w:val="00467E9E"/>
    <w:rsid w:val="004722D2"/>
    <w:rsid w:val="00472EAE"/>
    <w:rsid w:val="0047347B"/>
    <w:rsid w:val="00474A4F"/>
    <w:rsid w:val="004805D2"/>
    <w:rsid w:val="00482195"/>
    <w:rsid w:val="0048230A"/>
    <w:rsid w:val="00482EA5"/>
    <w:rsid w:val="00483EF2"/>
    <w:rsid w:val="00491228"/>
    <w:rsid w:val="00492DE5"/>
    <w:rsid w:val="004A2031"/>
    <w:rsid w:val="004B29AF"/>
    <w:rsid w:val="004B4E62"/>
    <w:rsid w:val="004C110B"/>
    <w:rsid w:val="004C1FD1"/>
    <w:rsid w:val="004D0A0D"/>
    <w:rsid w:val="004E37C7"/>
    <w:rsid w:val="004E472B"/>
    <w:rsid w:val="004E6B3A"/>
    <w:rsid w:val="004F347C"/>
    <w:rsid w:val="004F5B2E"/>
    <w:rsid w:val="00504CD5"/>
    <w:rsid w:val="00504FE0"/>
    <w:rsid w:val="00506D4F"/>
    <w:rsid w:val="005078A2"/>
    <w:rsid w:val="00511070"/>
    <w:rsid w:val="00512B8D"/>
    <w:rsid w:val="00512CC3"/>
    <w:rsid w:val="005222CF"/>
    <w:rsid w:val="00522841"/>
    <w:rsid w:val="00532F12"/>
    <w:rsid w:val="00537227"/>
    <w:rsid w:val="00541AFA"/>
    <w:rsid w:val="00544A3B"/>
    <w:rsid w:val="005454D6"/>
    <w:rsid w:val="00546DB3"/>
    <w:rsid w:val="005521F5"/>
    <w:rsid w:val="00552B14"/>
    <w:rsid w:val="0055353A"/>
    <w:rsid w:val="005553AC"/>
    <w:rsid w:val="00556A7A"/>
    <w:rsid w:val="00560FF2"/>
    <w:rsid w:val="005656CA"/>
    <w:rsid w:val="00570A65"/>
    <w:rsid w:val="00576223"/>
    <w:rsid w:val="00576523"/>
    <w:rsid w:val="00576FA1"/>
    <w:rsid w:val="00585557"/>
    <w:rsid w:val="00587411"/>
    <w:rsid w:val="00597029"/>
    <w:rsid w:val="005A484E"/>
    <w:rsid w:val="005A598E"/>
    <w:rsid w:val="005A6676"/>
    <w:rsid w:val="005B268A"/>
    <w:rsid w:val="005B5063"/>
    <w:rsid w:val="005C3D61"/>
    <w:rsid w:val="005C4E93"/>
    <w:rsid w:val="005C5BFC"/>
    <w:rsid w:val="005C673F"/>
    <w:rsid w:val="005C7BA8"/>
    <w:rsid w:val="005D067F"/>
    <w:rsid w:val="005D12E7"/>
    <w:rsid w:val="005D2470"/>
    <w:rsid w:val="005F051A"/>
    <w:rsid w:val="005F0A02"/>
    <w:rsid w:val="005F2D81"/>
    <w:rsid w:val="005F66E8"/>
    <w:rsid w:val="0060356E"/>
    <w:rsid w:val="00614072"/>
    <w:rsid w:val="006144EE"/>
    <w:rsid w:val="00615B95"/>
    <w:rsid w:val="00615E3B"/>
    <w:rsid w:val="00616B7F"/>
    <w:rsid w:val="00616FA8"/>
    <w:rsid w:val="00624E33"/>
    <w:rsid w:val="0062542C"/>
    <w:rsid w:val="00632ECE"/>
    <w:rsid w:val="006345C8"/>
    <w:rsid w:val="00634ADF"/>
    <w:rsid w:val="00636B19"/>
    <w:rsid w:val="006406D5"/>
    <w:rsid w:val="00640E28"/>
    <w:rsid w:val="0064147F"/>
    <w:rsid w:val="006424E0"/>
    <w:rsid w:val="00650126"/>
    <w:rsid w:val="006527B9"/>
    <w:rsid w:val="00654FFC"/>
    <w:rsid w:val="00655F5A"/>
    <w:rsid w:val="00661D93"/>
    <w:rsid w:val="00662546"/>
    <w:rsid w:val="00663BBA"/>
    <w:rsid w:val="00670804"/>
    <w:rsid w:val="00671473"/>
    <w:rsid w:val="006719BC"/>
    <w:rsid w:val="00671D51"/>
    <w:rsid w:val="0067273D"/>
    <w:rsid w:val="006766BD"/>
    <w:rsid w:val="00682F72"/>
    <w:rsid w:val="006863E1"/>
    <w:rsid w:val="00687490"/>
    <w:rsid w:val="006925EA"/>
    <w:rsid w:val="00694C51"/>
    <w:rsid w:val="00695701"/>
    <w:rsid w:val="00697474"/>
    <w:rsid w:val="00697762"/>
    <w:rsid w:val="006A2C9D"/>
    <w:rsid w:val="006B0CF1"/>
    <w:rsid w:val="006B4591"/>
    <w:rsid w:val="006B575F"/>
    <w:rsid w:val="006C089C"/>
    <w:rsid w:val="006D2DB4"/>
    <w:rsid w:val="006D5A2F"/>
    <w:rsid w:val="006E4D91"/>
    <w:rsid w:val="006F2AC8"/>
    <w:rsid w:val="006F2E54"/>
    <w:rsid w:val="00703DA2"/>
    <w:rsid w:val="00706424"/>
    <w:rsid w:val="00707F54"/>
    <w:rsid w:val="0071664C"/>
    <w:rsid w:val="0071759B"/>
    <w:rsid w:val="00724DF7"/>
    <w:rsid w:val="00736F79"/>
    <w:rsid w:val="00746A38"/>
    <w:rsid w:val="00755FC3"/>
    <w:rsid w:val="0075602F"/>
    <w:rsid w:val="00757CE6"/>
    <w:rsid w:val="0076480B"/>
    <w:rsid w:val="00774584"/>
    <w:rsid w:val="0077611D"/>
    <w:rsid w:val="00777383"/>
    <w:rsid w:val="0077749C"/>
    <w:rsid w:val="00784440"/>
    <w:rsid w:val="007851C4"/>
    <w:rsid w:val="007936A6"/>
    <w:rsid w:val="00796A40"/>
    <w:rsid w:val="007A0B0C"/>
    <w:rsid w:val="007A22CE"/>
    <w:rsid w:val="007A424F"/>
    <w:rsid w:val="007A4A98"/>
    <w:rsid w:val="007C11C6"/>
    <w:rsid w:val="007C2BF9"/>
    <w:rsid w:val="007C4552"/>
    <w:rsid w:val="007C5D22"/>
    <w:rsid w:val="007D06E5"/>
    <w:rsid w:val="007D41D0"/>
    <w:rsid w:val="007D4E2E"/>
    <w:rsid w:val="007E12A0"/>
    <w:rsid w:val="007E4814"/>
    <w:rsid w:val="007E5F7B"/>
    <w:rsid w:val="007F2271"/>
    <w:rsid w:val="007F2BF6"/>
    <w:rsid w:val="007F3BE0"/>
    <w:rsid w:val="007F7639"/>
    <w:rsid w:val="007F77B6"/>
    <w:rsid w:val="008034ED"/>
    <w:rsid w:val="00807125"/>
    <w:rsid w:val="008106F1"/>
    <w:rsid w:val="00810895"/>
    <w:rsid w:val="00822AC2"/>
    <w:rsid w:val="0082451D"/>
    <w:rsid w:val="0083672F"/>
    <w:rsid w:val="0083673A"/>
    <w:rsid w:val="008372D6"/>
    <w:rsid w:val="0084112D"/>
    <w:rsid w:val="008430ED"/>
    <w:rsid w:val="0084332A"/>
    <w:rsid w:val="00844F27"/>
    <w:rsid w:val="00850B78"/>
    <w:rsid w:val="00852940"/>
    <w:rsid w:val="008539A6"/>
    <w:rsid w:val="00855754"/>
    <w:rsid w:val="00855E58"/>
    <w:rsid w:val="0086100A"/>
    <w:rsid w:val="00866652"/>
    <w:rsid w:val="00866A6F"/>
    <w:rsid w:val="00872204"/>
    <w:rsid w:val="00874766"/>
    <w:rsid w:val="00875083"/>
    <w:rsid w:val="00876D1C"/>
    <w:rsid w:val="00877EC5"/>
    <w:rsid w:val="00884187"/>
    <w:rsid w:val="00886AE2"/>
    <w:rsid w:val="008877CD"/>
    <w:rsid w:val="0089003E"/>
    <w:rsid w:val="00893E54"/>
    <w:rsid w:val="00896376"/>
    <w:rsid w:val="008976E1"/>
    <w:rsid w:val="008A5D52"/>
    <w:rsid w:val="008B122A"/>
    <w:rsid w:val="008B2291"/>
    <w:rsid w:val="008B37EA"/>
    <w:rsid w:val="008B48B8"/>
    <w:rsid w:val="008C4132"/>
    <w:rsid w:val="008C730D"/>
    <w:rsid w:val="008D1B75"/>
    <w:rsid w:val="008D653E"/>
    <w:rsid w:val="008D783B"/>
    <w:rsid w:val="008D79F6"/>
    <w:rsid w:val="008E325C"/>
    <w:rsid w:val="008E7374"/>
    <w:rsid w:val="008E7E92"/>
    <w:rsid w:val="008F0B02"/>
    <w:rsid w:val="008F10D5"/>
    <w:rsid w:val="008F2A1B"/>
    <w:rsid w:val="008F37AD"/>
    <w:rsid w:val="008F42A7"/>
    <w:rsid w:val="008F4631"/>
    <w:rsid w:val="0090050E"/>
    <w:rsid w:val="009027FF"/>
    <w:rsid w:val="00903402"/>
    <w:rsid w:val="00926D14"/>
    <w:rsid w:val="009319A2"/>
    <w:rsid w:val="009322F1"/>
    <w:rsid w:val="00935410"/>
    <w:rsid w:val="00936851"/>
    <w:rsid w:val="00942337"/>
    <w:rsid w:val="009456C1"/>
    <w:rsid w:val="00945E85"/>
    <w:rsid w:val="0095173A"/>
    <w:rsid w:val="009527B5"/>
    <w:rsid w:val="00954F75"/>
    <w:rsid w:val="00962FA1"/>
    <w:rsid w:val="00964B9A"/>
    <w:rsid w:val="00966C5E"/>
    <w:rsid w:val="00971369"/>
    <w:rsid w:val="00972115"/>
    <w:rsid w:val="0097412D"/>
    <w:rsid w:val="00975A34"/>
    <w:rsid w:val="00980CCB"/>
    <w:rsid w:val="00981ABB"/>
    <w:rsid w:val="009830C9"/>
    <w:rsid w:val="0098316A"/>
    <w:rsid w:val="00983AC3"/>
    <w:rsid w:val="00990816"/>
    <w:rsid w:val="009A2DA7"/>
    <w:rsid w:val="009A70A3"/>
    <w:rsid w:val="009B15BD"/>
    <w:rsid w:val="009B3A34"/>
    <w:rsid w:val="009B6624"/>
    <w:rsid w:val="009C1216"/>
    <w:rsid w:val="009C5DB7"/>
    <w:rsid w:val="009C7134"/>
    <w:rsid w:val="009D30CF"/>
    <w:rsid w:val="009D3A51"/>
    <w:rsid w:val="009D42EC"/>
    <w:rsid w:val="009E0F4A"/>
    <w:rsid w:val="009E3E04"/>
    <w:rsid w:val="009E4067"/>
    <w:rsid w:val="009F4164"/>
    <w:rsid w:val="00A10986"/>
    <w:rsid w:val="00A12146"/>
    <w:rsid w:val="00A12D40"/>
    <w:rsid w:val="00A13383"/>
    <w:rsid w:val="00A1592D"/>
    <w:rsid w:val="00A159D7"/>
    <w:rsid w:val="00A22DD7"/>
    <w:rsid w:val="00A343EF"/>
    <w:rsid w:val="00A35217"/>
    <w:rsid w:val="00A46655"/>
    <w:rsid w:val="00A53423"/>
    <w:rsid w:val="00A54229"/>
    <w:rsid w:val="00A55483"/>
    <w:rsid w:val="00A55C1C"/>
    <w:rsid w:val="00A57BFA"/>
    <w:rsid w:val="00A613F4"/>
    <w:rsid w:val="00A61687"/>
    <w:rsid w:val="00A624F9"/>
    <w:rsid w:val="00A63AAD"/>
    <w:rsid w:val="00A63CC4"/>
    <w:rsid w:val="00A63F45"/>
    <w:rsid w:val="00A71EB8"/>
    <w:rsid w:val="00A73ABD"/>
    <w:rsid w:val="00A775D7"/>
    <w:rsid w:val="00A77673"/>
    <w:rsid w:val="00A82B54"/>
    <w:rsid w:val="00A83EF9"/>
    <w:rsid w:val="00A84A43"/>
    <w:rsid w:val="00A86E8C"/>
    <w:rsid w:val="00A871AE"/>
    <w:rsid w:val="00AA4AA3"/>
    <w:rsid w:val="00AA6347"/>
    <w:rsid w:val="00AB114A"/>
    <w:rsid w:val="00AB12DE"/>
    <w:rsid w:val="00AC3663"/>
    <w:rsid w:val="00AC4906"/>
    <w:rsid w:val="00AC4F7A"/>
    <w:rsid w:val="00AC5205"/>
    <w:rsid w:val="00AD3961"/>
    <w:rsid w:val="00AE0B46"/>
    <w:rsid w:val="00AE4D61"/>
    <w:rsid w:val="00AE5FF5"/>
    <w:rsid w:val="00AE7C88"/>
    <w:rsid w:val="00AF0856"/>
    <w:rsid w:val="00AF7DD5"/>
    <w:rsid w:val="00B006C7"/>
    <w:rsid w:val="00B02248"/>
    <w:rsid w:val="00B053E3"/>
    <w:rsid w:val="00B073D7"/>
    <w:rsid w:val="00B1198C"/>
    <w:rsid w:val="00B11E4D"/>
    <w:rsid w:val="00B1429A"/>
    <w:rsid w:val="00B222EA"/>
    <w:rsid w:val="00B23A14"/>
    <w:rsid w:val="00B247A7"/>
    <w:rsid w:val="00B25EE6"/>
    <w:rsid w:val="00B27734"/>
    <w:rsid w:val="00B2792B"/>
    <w:rsid w:val="00B373E1"/>
    <w:rsid w:val="00B37AA0"/>
    <w:rsid w:val="00B41AFF"/>
    <w:rsid w:val="00B42CFA"/>
    <w:rsid w:val="00B45CB9"/>
    <w:rsid w:val="00B45D9E"/>
    <w:rsid w:val="00B4736A"/>
    <w:rsid w:val="00B506F0"/>
    <w:rsid w:val="00B506F7"/>
    <w:rsid w:val="00B54A2F"/>
    <w:rsid w:val="00B5611F"/>
    <w:rsid w:val="00B568CF"/>
    <w:rsid w:val="00B56E3D"/>
    <w:rsid w:val="00B62977"/>
    <w:rsid w:val="00B63619"/>
    <w:rsid w:val="00B63DCE"/>
    <w:rsid w:val="00B674B6"/>
    <w:rsid w:val="00B7091F"/>
    <w:rsid w:val="00B71B41"/>
    <w:rsid w:val="00B816FC"/>
    <w:rsid w:val="00B81CBF"/>
    <w:rsid w:val="00B85327"/>
    <w:rsid w:val="00B8789D"/>
    <w:rsid w:val="00B91384"/>
    <w:rsid w:val="00B92A5D"/>
    <w:rsid w:val="00BA29B8"/>
    <w:rsid w:val="00BB3D61"/>
    <w:rsid w:val="00BB689F"/>
    <w:rsid w:val="00BC1ECC"/>
    <w:rsid w:val="00BC5DF2"/>
    <w:rsid w:val="00BC6601"/>
    <w:rsid w:val="00BC693C"/>
    <w:rsid w:val="00BD0FD2"/>
    <w:rsid w:val="00BD21D3"/>
    <w:rsid w:val="00BD5E95"/>
    <w:rsid w:val="00BE15B9"/>
    <w:rsid w:val="00BE3867"/>
    <w:rsid w:val="00BE3C89"/>
    <w:rsid w:val="00BF08FE"/>
    <w:rsid w:val="00BF4BE3"/>
    <w:rsid w:val="00BF5AB6"/>
    <w:rsid w:val="00BF7F10"/>
    <w:rsid w:val="00C0287D"/>
    <w:rsid w:val="00C02EAE"/>
    <w:rsid w:val="00C0351B"/>
    <w:rsid w:val="00C04D40"/>
    <w:rsid w:val="00C04D4A"/>
    <w:rsid w:val="00C10019"/>
    <w:rsid w:val="00C11541"/>
    <w:rsid w:val="00C20277"/>
    <w:rsid w:val="00C2378A"/>
    <w:rsid w:val="00C2573C"/>
    <w:rsid w:val="00C2729A"/>
    <w:rsid w:val="00C35F8A"/>
    <w:rsid w:val="00C41ADC"/>
    <w:rsid w:val="00C43544"/>
    <w:rsid w:val="00C44395"/>
    <w:rsid w:val="00C444E9"/>
    <w:rsid w:val="00C46BB1"/>
    <w:rsid w:val="00C46F63"/>
    <w:rsid w:val="00C50637"/>
    <w:rsid w:val="00C5106C"/>
    <w:rsid w:val="00C54A24"/>
    <w:rsid w:val="00C56A9C"/>
    <w:rsid w:val="00C579E2"/>
    <w:rsid w:val="00C57DAA"/>
    <w:rsid w:val="00C60768"/>
    <w:rsid w:val="00C63316"/>
    <w:rsid w:val="00C63CD0"/>
    <w:rsid w:val="00C66412"/>
    <w:rsid w:val="00C71310"/>
    <w:rsid w:val="00C733CF"/>
    <w:rsid w:val="00C770BB"/>
    <w:rsid w:val="00C823AD"/>
    <w:rsid w:val="00C83D63"/>
    <w:rsid w:val="00C8449A"/>
    <w:rsid w:val="00C849DC"/>
    <w:rsid w:val="00C87A61"/>
    <w:rsid w:val="00C9312C"/>
    <w:rsid w:val="00C9340E"/>
    <w:rsid w:val="00C93C5C"/>
    <w:rsid w:val="00C9795B"/>
    <w:rsid w:val="00CA51B2"/>
    <w:rsid w:val="00CA536D"/>
    <w:rsid w:val="00CA5797"/>
    <w:rsid w:val="00CA650D"/>
    <w:rsid w:val="00CB0565"/>
    <w:rsid w:val="00CB1A4A"/>
    <w:rsid w:val="00CB6266"/>
    <w:rsid w:val="00CC1B9B"/>
    <w:rsid w:val="00CC493F"/>
    <w:rsid w:val="00CC5AB3"/>
    <w:rsid w:val="00CC5B86"/>
    <w:rsid w:val="00CC5F11"/>
    <w:rsid w:val="00CC6299"/>
    <w:rsid w:val="00CD0B8C"/>
    <w:rsid w:val="00CD108D"/>
    <w:rsid w:val="00CD23B0"/>
    <w:rsid w:val="00CD6C2D"/>
    <w:rsid w:val="00CE510C"/>
    <w:rsid w:val="00CE5CC5"/>
    <w:rsid w:val="00CE5DD0"/>
    <w:rsid w:val="00CF09C3"/>
    <w:rsid w:val="00CF2813"/>
    <w:rsid w:val="00CF3D20"/>
    <w:rsid w:val="00CF41C5"/>
    <w:rsid w:val="00CF6660"/>
    <w:rsid w:val="00D03A2C"/>
    <w:rsid w:val="00D13424"/>
    <w:rsid w:val="00D25B9F"/>
    <w:rsid w:val="00D31EA9"/>
    <w:rsid w:val="00D34E5C"/>
    <w:rsid w:val="00D36D6B"/>
    <w:rsid w:val="00D52AE6"/>
    <w:rsid w:val="00D53918"/>
    <w:rsid w:val="00D5440A"/>
    <w:rsid w:val="00D65CBE"/>
    <w:rsid w:val="00D75D03"/>
    <w:rsid w:val="00D76D76"/>
    <w:rsid w:val="00D83C07"/>
    <w:rsid w:val="00D83FE8"/>
    <w:rsid w:val="00D85CBA"/>
    <w:rsid w:val="00D86D84"/>
    <w:rsid w:val="00D91313"/>
    <w:rsid w:val="00D95590"/>
    <w:rsid w:val="00DB756B"/>
    <w:rsid w:val="00DC1E0C"/>
    <w:rsid w:val="00DC24DA"/>
    <w:rsid w:val="00DC6380"/>
    <w:rsid w:val="00DC70F1"/>
    <w:rsid w:val="00DC7BA5"/>
    <w:rsid w:val="00DD4A41"/>
    <w:rsid w:val="00DD67A7"/>
    <w:rsid w:val="00DE256F"/>
    <w:rsid w:val="00DE5321"/>
    <w:rsid w:val="00DE6DC0"/>
    <w:rsid w:val="00DE7385"/>
    <w:rsid w:val="00DF049D"/>
    <w:rsid w:val="00DF17EA"/>
    <w:rsid w:val="00DF3DBF"/>
    <w:rsid w:val="00DF7708"/>
    <w:rsid w:val="00E0200B"/>
    <w:rsid w:val="00E02B69"/>
    <w:rsid w:val="00E03410"/>
    <w:rsid w:val="00E04351"/>
    <w:rsid w:val="00E04736"/>
    <w:rsid w:val="00E06C21"/>
    <w:rsid w:val="00E10157"/>
    <w:rsid w:val="00E21EC9"/>
    <w:rsid w:val="00E23E0C"/>
    <w:rsid w:val="00E257B4"/>
    <w:rsid w:val="00E260AA"/>
    <w:rsid w:val="00E27E6E"/>
    <w:rsid w:val="00E32BB2"/>
    <w:rsid w:val="00E45E7F"/>
    <w:rsid w:val="00E507B0"/>
    <w:rsid w:val="00E51778"/>
    <w:rsid w:val="00E5224B"/>
    <w:rsid w:val="00E52507"/>
    <w:rsid w:val="00E53843"/>
    <w:rsid w:val="00E6008D"/>
    <w:rsid w:val="00E72FE5"/>
    <w:rsid w:val="00E77A10"/>
    <w:rsid w:val="00E8076E"/>
    <w:rsid w:val="00E81120"/>
    <w:rsid w:val="00E815B9"/>
    <w:rsid w:val="00E82411"/>
    <w:rsid w:val="00E84575"/>
    <w:rsid w:val="00E90720"/>
    <w:rsid w:val="00E938D6"/>
    <w:rsid w:val="00E9481C"/>
    <w:rsid w:val="00E9689F"/>
    <w:rsid w:val="00EA54EE"/>
    <w:rsid w:val="00EB1BAE"/>
    <w:rsid w:val="00EB560C"/>
    <w:rsid w:val="00EC6016"/>
    <w:rsid w:val="00ED161E"/>
    <w:rsid w:val="00ED27C3"/>
    <w:rsid w:val="00EE256F"/>
    <w:rsid w:val="00EF1F86"/>
    <w:rsid w:val="00EF5321"/>
    <w:rsid w:val="00EF6497"/>
    <w:rsid w:val="00F01D77"/>
    <w:rsid w:val="00F02960"/>
    <w:rsid w:val="00F02A6C"/>
    <w:rsid w:val="00F05243"/>
    <w:rsid w:val="00F058FF"/>
    <w:rsid w:val="00F0600C"/>
    <w:rsid w:val="00F322E4"/>
    <w:rsid w:val="00F35610"/>
    <w:rsid w:val="00F36F9A"/>
    <w:rsid w:val="00F3722B"/>
    <w:rsid w:val="00F42E92"/>
    <w:rsid w:val="00F4485A"/>
    <w:rsid w:val="00F5033C"/>
    <w:rsid w:val="00F54CD6"/>
    <w:rsid w:val="00F62813"/>
    <w:rsid w:val="00F65CE1"/>
    <w:rsid w:val="00F660F8"/>
    <w:rsid w:val="00F71193"/>
    <w:rsid w:val="00F71417"/>
    <w:rsid w:val="00F735E6"/>
    <w:rsid w:val="00F74ECC"/>
    <w:rsid w:val="00F81821"/>
    <w:rsid w:val="00F83E37"/>
    <w:rsid w:val="00F960ED"/>
    <w:rsid w:val="00F97F54"/>
    <w:rsid w:val="00FA0404"/>
    <w:rsid w:val="00FA2127"/>
    <w:rsid w:val="00FA2D88"/>
    <w:rsid w:val="00FA58D9"/>
    <w:rsid w:val="00FA5A1A"/>
    <w:rsid w:val="00FB0F8D"/>
    <w:rsid w:val="00FB57CF"/>
    <w:rsid w:val="00FB62C1"/>
    <w:rsid w:val="00FB6A1D"/>
    <w:rsid w:val="00FB6E71"/>
    <w:rsid w:val="00FB77D7"/>
    <w:rsid w:val="00FC298C"/>
    <w:rsid w:val="00FC4179"/>
    <w:rsid w:val="00FD0A78"/>
    <w:rsid w:val="00FD14D9"/>
    <w:rsid w:val="00FD49E0"/>
    <w:rsid w:val="00FD6FA4"/>
    <w:rsid w:val="00FD7122"/>
    <w:rsid w:val="00FE2990"/>
    <w:rsid w:val="00FE303E"/>
    <w:rsid w:val="00FF1E6B"/>
    <w:rsid w:val="00FF2C66"/>
    <w:rsid w:val="00FF4E87"/>
    <w:rsid w:val="00FF5B0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AA916"/>
  <w15:docId w15:val="{F1F69553-CFA7-4F9C-81DA-A46749A8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87B"/>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2787B"/>
    <w:pPr>
      <w:jc w:val="both"/>
    </w:pPr>
    <w:rPr>
      <w:sz w:val="24"/>
    </w:rPr>
  </w:style>
  <w:style w:type="paragraph" w:styleId="Footer">
    <w:name w:val="footer"/>
    <w:basedOn w:val="Normal"/>
    <w:rsid w:val="0002787B"/>
    <w:pPr>
      <w:jc w:val="both"/>
    </w:pPr>
    <w:rPr>
      <w:sz w:val="24"/>
    </w:rPr>
  </w:style>
  <w:style w:type="paragraph" w:styleId="Title">
    <w:name w:val="Title"/>
    <w:basedOn w:val="Normal"/>
    <w:qFormat/>
    <w:rsid w:val="0002787B"/>
    <w:pPr>
      <w:keepNext/>
      <w:keepLines/>
      <w:spacing w:before="144" w:after="72"/>
      <w:jc w:val="center"/>
    </w:pPr>
    <w:rPr>
      <w:rFonts w:ascii="Arial" w:hAnsi="Arial"/>
      <w:b/>
      <w:sz w:val="36"/>
    </w:rPr>
  </w:style>
  <w:style w:type="paragraph" w:customStyle="1" w:styleId="Bulletedlist">
    <w:name w:val="Bulleted list"/>
    <w:basedOn w:val="Normal"/>
    <w:rsid w:val="0002787B"/>
    <w:pPr>
      <w:tabs>
        <w:tab w:val="left" w:pos="720"/>
      </w:tabs>
      <w:spacing w:after="240"/>
      <w:ind w:left="720" w:hanging="360"/>
      <w:jc w:val="both"/>
    </w:pPr>
    <w:rPr>
      <w:sz w:val="24"/>
    </w:rPr>
  </w:style>
  <w:style w:type="paragraph" w:customStyle="1" w:styleId="HeadingB">
    <w:name w:val="Heading B"/>
    <w:basedOn w:val="Normal"/>
    <w:rsid w:val="0002787B"/>
    <w:pPr>
      <w:spacing w:after="120"/>
      <w:jc w:val="both"/>
    </w:pPr>
    <w:rPr>
      <w:b/>
      <w:sz w:val="24"/>
    </w:rPr>
  </w:style>
  <w:style w:type="paragraph" w:customStyle="1" w:styleId="HeadingA">
    <w:name w:val="Heading A"/>
    <w:basedOn w:val="Normal"/>
    <w:rsid w:val="0002787B"/>
    <w:pPr>
      <w:spacing w:after="240" w:line="480" w:lineRule="exact"/>
      <w:jc w:val="center"/>
    </w:pPr>
    <w:rPr>
      <w:b/>
      <w:sz w:val="48"/>
    </w:rPr>
  </w:style>
  <w:style w:type="paragraph" w:customStyle="1" w:styleId="Footnote">
    <w:name w:val="Footnote"/>
    <w:basedOn w:val="Normal"/>
    <w:rsid w:val="0002787B"/>
    <w:pPr>
      <w:jc w:val="both"/>
    </w:pPr>
    <w:rPr>
      <w:rFonts w:ascii="Courier New" w:hAnsi="Courier New"/>
      <w:sz w:val="24"/>
    </w:rPr>
  </w:style>
  <w:style w:type="paragraph" w:customStyle="1" w:styleId="BodyText1">
    <w:name w:val="Body Text1"/>
    <w:basedOn w:val="Normal"/>
    <w:rsid w:val="0002787B"/>
    <w:pPr>
      <w:tabs>
        <w:tab w:val="left" w:pos="720"/>
        <w:tab w:val="left" w:pos="1440"/>
        <w:tab w:val="left" w:pos="2160"/>
        <w:tab w:val="left" w:pos="2880"/>
        <w:tab w:val="left" w:pos="3600"/>
        <w:tab w:val="left" w:pos="4320"/>
        <w:tab w:val="left" w:pos="5040"/>
        <w:tab w:val="left" w:pos="5760"/>
      </w:tabs>
      <w:spacing w:after="240"/>
      <w:jc w:val="both"/>
    </w:pPr>
    <w:rPr>
      <w:sz w:val="24"/>
    </w:rPr>
  </w:style>
  <w:style w:type="paragraph" w:customStyle="1" w:styleId="Subhead">
    <w:name w:val="Subhead"/>
    <w:basedOn w:val="Normal"/>
    <w:rsid w:val="0002787B"/>
    <w:pPr>
      <w:spacing w:before="72" w:after="72"/>
      <w:jc w:val="both"/>
    </w:pPr>
    <w:rPr>
      <w:b/>
      <w:i/>
      <w:sz w:val="24"/>
    </w:rPr>
  </w:style>
  <w:style w:type="paragraph" w:customStyle="1" w:styleId="NumberList">
    <w:name w:val="Number List"/>
    <w:basedOn w:val="Normal"/>
    <w:rsid w:val="0002787B"/>
    <w:pPr>
      <w:jc w:val="both"/>
    </w:pPr>
    <w:rPr>
      <w:sz w:val="24"/>
    </w:rPr>
  </w:style>
  <w:style w:type="paragraph" w:customStyle="1" w:styleId="Bullet1">
    <w:name w:val="Bullet 1"/>
    <w:basedOn w:val="Normal"/>
    <w:rsid w:val="0002787B"/>
    <w:pPr>
      <w:jc w:val="both"/>
    </w:pPr>
    <w:rPr>
      <w:sz w:val="24"/>
    </w:rPr>
  </w:style>
  <w:style w:type="paragraph" w:customStyle="1" w:styleId="Bullet">
    <w:name w:val="Bullet"/>
    <w:basedOn w:val="Normal"/>
    <w:rsid w:val="0002787B"/>
    <w:pPr>
      <w:jc w:val="both"/>
    </w:pPr>
    <w:rPr>
      <w:sz w:val="24"/>
    </w:rPr>
  </w:style>
  <w:style w:type="paragraph" w:customStyle="1" w:styleId="BodySingle">
    <w:name w:val="Body Single"/>
    <w:basedOn w:val="Normal"/>
    <w:rsid w:val="0002787B"/>
    <w:pPr>
      <w:jc w:val="both"/>
    </w:pPr>
    <w:rPr>
      <w:sz w:val="24"/>
    </w:rPr>
  </w:style>
  <w:style w:type="paragraph" w:customStyle="1" w:styleId="DefaultText">
    <w:name w:val="Default Text"/>
    <w:basedOn w:val="Normal"/>
    <w:rsid w:val="0002787B"/>
    <w:pPr>
      <w:spacing w:line="480" w:lineRule="auto"/>
      <w:jc w:val="both"/>
    </w:pPr>
    <w:rPr>
      <w:sz w:val="24"/>
    </w:rPr>
  </w:style>
  <w:style w:type="paragraph" w:customStyle="1" w:styleId="Pa12">
    <w:name w:val="Pa12"/>
    <w:basedOn w:val="Normal"/>
    <w:next w:val="Normal"/>
    <w:uiPriority w:val="99"/>
    <w:rsid w:val="00650126"/>
    <w:pPr>
      <w:overflowPunct/>
      <w:spacing w:line="241" w:lineRule="atLeast"/>
      <w:textAlignment w:val="auto"/>
    </w:pPr>
    <w:rPr>
      <w:rFonts w:ascii="Frutiger 45 Light" w:hAnsi="Frutiger 45 Light"/>
      <w:sz w:val="24"/>
      <w:szCs w:val="24"/>
      <w:lang w:val="en-GB"/>
    </w:rPr>
  </w:style>
  <w:style w:type="character" w:customStyle="1" w:styleId="A5">
    <w:name w:val="A5"/>
    <w:uiPriority w:val="99"/>
    <w:rsid w:val="00650126"/>
    <w:rPr>
      <w:rFonts w:cs="Frutiger 45 Light"/>
      <w:color w:val="000000"/>
    </w:rPr>
  </w:style>
  <w:style w:type="character" w:customStyle="1" w:styleId="A6">
    <w:name w:val="A6"/>
    <w:uiPriority w:val="99"/>
    <w:rsid w:val="00650126"/>
    <w:rPr>
      <w:rFonts w:cs="Frutiger 45 Light"/>
      <w:color w:val="000000"/>
      <w:sz w:val="16"/>
      <w:szCs w:val="16"/>
    </w:rPr>
  </w:style>
  <w:style w:type="paragraph" w:styleId="PlainText">
    <w:name w:val="Plain Text"/>
    <w:basedOn w:val="Normal"/>
    <w:link w:val="PlainTextChar"/>
    <w:uiPriority w:val="99"/>
    <w:unhideWhenUsed/>
    <w:rsid w:val="00504CD5"/>
    <w:pPr>
      <w:overflowPunct/>
      <w:autoSpaceDE/>
      <w:autoSpaceDN/>
      <w:adjustRightInd/>
      <w:textAlignment w:val="auto"/>
    </w:pPr>
    <w:rPr>
      <w:rFonts w:ascii="Consolas" w:hAnsi="Consolas"/>
      <w:sz w:val="21"/>
      <w:szCs w:val="21"/>
    </w:rPr>
  </w:style>
  <w:style w:type="character" w:customStyle="1" w:styleId="PlainTextChar">
    <w:name w:val="Plain Text Char"/>
    <w:link w:val="PlainText"/>
    <w:uiPriority w:val="99"/>
    <w:rsid w:val="00504CD5"/>
    <w:rPr>
      <w:rFonts w:ascii="Consolas" w:hAnsi="Consolas"/>
      <w:sz w:val="21"/>
      <w:szCs w:val="21"/>
    </w:rPr>
  </w:style>
  <w:style w:type="paragraph" w:customStyle="1" w:styleId="Default">
    <w:name w:val="Default"/>
    <w:rsid w:val="008B122A"/>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90050E"/>
    <w:pPr>
      <w:suppressAutoHyphens/>
      <w:overflowPunct/>
      <w:autoSpaceDE/>
      <w:autoSpaceDN/>
      <w:adjustRightInd/>
      <w:spacing w:after="200" w:line="276" w:lineRule="auto"/>
      <w:ind w:left="720"/>
      <w:textAlignment w:val="auto"/>
    </w:pPr>
    <w:rPr>
      <w:rFonts w:ascii="Calibri" w:eastAsia="SimSun" w:hAnsi="Calibri" w:cs="Tahoma"/>
      <w:kern w:val="1"/>
      <w:sz w:val="22"/>
      <w:szCs w:val="22"/>
      <w:lang w:val="en-GB" w:eastAsia="ar-SA"/>
    </w:rPr>
  </w:style>
  <w:style w:type="paragraph" w:styleId="BodyText">
    <w:name w:val="Body Text"/>
    <w:basedOn w:val="Normal"/>
    <w:link w:val="BodyTextChar"/>
    <w:rsid w:val="00BB3D61"/>
    <w:pPr>
      <w:suppressAutoHyphens/>
      <w:overflowPunct/>
      <w:autoSpaceDE/>
      <w:autoSpaceDN/>
      <w:adjustRightInd/>
      <w:spacing w:after="120" w:line="276" w:lineRule="auto"/>
      <w:textAlignment w:val="auto"/>
    </w:pPr>
    <w:rPr>
      <w:rFonts w:ascii="Calibri" w:eastAsia="SimSun" w:hAnsi="Calibri"/>
      <w:kern w:val="1"/>
      <w:sz w:val="22"/>
      <w:szCs w:val="22"/>
      <w:lang w:eastAsia="ar-SA"/>
    </w:rPr>
  </w:style>
  <w:style w:type="character" w:customStyle="1" w:styleId="BodyTextChar">
    <w:name w:val="Body Text Char"/>
    <w:link w:val="BodyText"/>
    <w:rsid w:val="00BB3D61"/>
    <w:rPr>
      <w:rFonts w:ascii="Calibri" w:eastAsia="SimSun" w:hAnsi="Calibri" w:cs="Tahoma"/>
      <w:kern w:val="1"/>
      <w:sz w:val="22"/>
      <w:szCs w:val="22"/>
      <w:lang w:eastAsia="ar-SA"/>
    </w:rPr>
  </w:style>
  <w:style w:type="paragraph" w:styleId="NormalWeb">
    <w:name w:val="Normal (Web)"/>
    <w:basedOn w:val="Normal"/>
    <w:uiPriority w:val="99"/>
    <w:unhideWhenUsed/>
    <w:rsid w:val="00AE7C88"/>
    <w:pPr>
      <w:overflowPunct/>
      <w:autoSpaceDE/>
      <w:autoSpaceDN/>
      <w:adjustRightInd/>
      <w:spacing w:before="180" w:after="180"/>
      <w:textAlignment w:val="auto"/>
    </w:pPr>
    <w:rPr>
      <w:sz w:val="24"/>
      <w:szCs w:val="24"/>
      <w:lang w:val="en-GB"/>
    </w:rPr>
  </w:style>
  <w:style w:type="character" w:customStyle="1" w:styleId="A1">
    <w:name w:val="A1"/>
    <w:uiPriority w:val="99"/>
    <w:rsid w:val="0028186F"/>
    <w:rPr>
      <w:b/>
      <w:bCs/>
      <w:color w:val="000000"/>
      <w:sz w:val="48"/>
      <w:szCs w:val="48"/>
    </w:rPr>
  </w:style>
  <w:style w:type="table" w:styleId="TableGrid">
    <w:name w:val="Table Grid"/>
    <w:basedOn w:val="TableNormal"/>
    <w:uiPriority w:val="59"/>
    <w:rsid w:val="00C849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8230A"/>
    <w:rPr>
      <w:b/>
      <w:bCs/>
      <w:strike w:val="0"/>
      <w:dstrike w:val="0"/>
      <w:color w:val="02286A"/>
      <w:u w:val="none"/>
      <w:effect w:val="none"/>
    </w:rPr>
  </w:style>
  <w:style w:type="paragraph" w:customStyle="1" w:styleId="subheadingblue1">
    <w:name w:val="subheadingblue1"/>
    <w:basedOn w:val="Normal"/>
    <w:rsid w:val="0048230A"/>
    <w:pPr>
      <w:overflowPunct/>
      <w:autoSpaceDE/>
      <w:autoSpaceDN/>
      <w:adjustRightInd/>
      <w:textAlignment w:val="auto"/>
    </w:pPr>
    <w:rPr>
      <w:color w:val="02286A"/>
      <w:sz w:val="34"/>
      <w:szCs w:val="34"/>
      <w:lang w:val="en-GB"/>
    </w:rPr>
  </w:style>
  <w:style w:type="paragraph" w:styleId="NoSpacing">
    <w:name w:val="No Spacing"/>
    <w:uiPriority w:val="1"/>
    <w:qFormat/>
    <w:rsid w:val="00D65CBE"/>
    <w:rPr>
      <w:rFonts w:ascii="Calibri" w:eastAsia="Calibri" w:hAnsi="Calibri"/>
      <w:sz w:val="22"/>
      <w:szCs w:val="22"/>
      <w:lang w:eastAsia="en-US"/>
    </w:rPr>
  </w:style>
  <w:style w:type="paragraph" w:customStyle="1" w:styleId="Level1">
    <w:name w:val="Level 1"/>
    <w:basedOn w:val="Normal"/>
    <w:qFormat/>
    <w:rsid w:val="005B5063"/>
    <w:pPr>
      <w:numPr>
        <w:numId w:val="9"/>
      </w:numPr>
      <w:overflowPunct/>
      <w:autoSpaceDE/>
      <w:autoSpaceDN/>
      <w:adjustRightInd/>
      <w:spacing w:after="240" w:line="312" w:lineRule="auto"/>
      <w:jc w:val="both"/>
      <w:textAlignment w:val="auto"/>
      <w:outlineLvl w:val="0"/>
    </w:pPr>
    <w:rPr>
      <w:rFonts w:ascii="Verdana" w:hAnsi="Verdana"/>
      <w:lang w:val="en-GB"/>
    </w:rPr>
  </w:style>
  <w:style w:type="paragraph" w:customStyle="1" w:styleId="Level2">
    <w:name w:val="Level 2"/>
    <w:basedOn w:val="Normal"/>
    <w:link w:val="Level2Char"/>
    <w:qFormat/>
    <w:rsid w:val="005B5063"/>
    <w:pPr>
      <w:numPr>
        <w:ilvl w:val="1"/>
        <w:numId w:val="9"/>
      </w:numPr>
      <w:overflowPunct/>
      <w:autoSpaceDE/>
      <w:autoSpaceDN/>
      <w:adjustRightInd/>
      <w:spacing w:after="240" w:line="312" w:lineRule="auto"/>
      <w:jc w:val="both"/>
      <w:textAlignment w:val="auto"/>
      <w:outlineLvl w:val="1"/>
    </w:pPr>
    <w:rPr>
      <w:rFonts w:ascii="Verdana" w:hAnsi="Verdana"/>
    </w:rPr>
  </w:style>
  <w:style w:type="paragraph" w:customStyle="1" w:styleId="Level3">
    <w:name w:val="Level 3"/>
    <w:basedOn w:val="Normal"/>
    <w:qFormat/>
    <w:rsid w:val="005B5063"/>
    <w:pPr>
      <w:numPr>
        <w:ilvl w:val="2"/>
        <w:numId w:val="9"/>
      </w:numPr>
      <w:overflowPunct/>
      <w:autoSpaceDE/>
      <w:autoSpaceDN/>
      <w:adjustRightInd/>
      <w:spacing w:after="240" w:line="312" w:lineRule="auto"/>
      <w:jc w:val="both"/>
      <w:textAlignment w:val="auto"/>
      <w:outlineLvl w:val="2"/>
    </w:pPr>
    <w:rPr>
      <w:rFonts w:ascii="Verdana" w:hAnsi="Verdana"/>
      <w:lang w:val="en-GB"/>
    </w:rPr>
  </w:style>
  <w:style w:type="paragraph" w:customStyle="1" w:styleId="Level4">
    <w:name w:val="Level 4"/>
    <w:basedOn w:val="Normal"/>
    <w:qFormat/>
    <w:rsid w:val="005B5063"/>
    <w:pPr>
      <w:numPr>
        <w:ilvl w:val="3"/>
        <w:numId w:val="9"/>
      </w:numPr>
      <w:overflowPunct/>
      <w:autoSpaceDE/>
      <w:autoSpaceDN/>
      <w:adjustRightInd/>
      <w:spacing w:after="240" w:line="312" w:lineRule="auto"/>
      <w:jc w:val="both"/>
      <w:textAlignment w:val="auto"/>
      <w:outlineLvl w:val="3"/>
    </w:pPr>
    <w:rPr>
      <w:rFonts w:ascii="Verdana" w:hAnsi="Verdana"/>
      <w:lang w:val="en-GB"/>
    </w:rPr>
  </w:style>
  <w:style w:type="paragraph" w:customStyle="1" w:styleId="Level5">
    <w:name w:val="Level 5"/>
    <w:basedOn w:val="Normal"/>
    <w:qFormat/>
    <w:rsid w:val="005B5063"/>
    <w:pPr>
      <w:numPr>
        <w:ilvl w:val="4"/>
        <w:numId w:val="9"/>
      </w:numPr>
      <w:overflowPunct/>
      <w:autoSpaceDE/>
      <w:autoSpaceDN/>
      <w:adjustRightInd/>
      <w:spacing w:after="240" w:line="312" w:lineRule="auto"/>
      <w:jc w:val="both"/>
      <w:textAlignment w:val="auto"/>
      <w:outlineLvl w:val="4"/>
    </w:pPr>
    <w:rPr>
      <w:rFonts w:ascii="Verdana" w:hAnsi="Verdana"/>
      <w:lang w:val="en-GB"/>
    </w:rPr>
  </w:style>
  <w:style w:type="character" w:customStyle="1" w:styleId="Level2Char">
    <w:name w:val="Level 2 Char"/>
    <w:link w:val="Level2"/>
    <w:locked/>
    <w:rsid w:val="005B5063"/>
    <w:rPr>
      <w:rFonts w:ascii="Verdana" w:hAnsi="Verdana"/>
    </w:rPr>
  </w:style>
  <w:style w:type="paragraph" w:styleId="CommentText">
    <w:name w:val="annotation text"/>
    <w:basedOn w:val="Normal"/>
    <w:link w:val="CommentTextChar"/>
    <w:rsid w:val="00FD14D9"/>
    <w:rPr>
      <w:sz w:val="24"/>
      <w:szCs w:val="24"/>
    </w:rPr>
  </w:style>
  <w:style w:type="character" w:customStyle="1" w:styleId="CommentTextChar">
    <w:name w:val="Comment Text Char"/>
    <w:link w:val="CommentText"/>
    <w:rsid w:val="00FD14D9"/>
    <w:rPr>
      <w:sz w:val="24"/>
      <w:szCs w:val="24"/>
      <w:lang w:val="en-US"/>
    </w:rPr>
  </w:style>
  <w:style w:type="character" w:customStyle="1" w:styleId="yiv3670128941">
    <w:name w:val="yiv3670128941"/>
    <w:basedOn w:val="DefaultParagraphFont"/>
    <w:rsid w:val="0083672F"/>
  </w:style>
  <w:style w:type="paragraph" w:styleId="TOC1">
    <w:name w:val="toc 1"/>
    <w:basedOn w:val="Normal"/>
    <w:next w:val="Normal"/>
    <w:rsid w:val="00DF3DBF"/>
    <w:pPr>
      <w:overflowPunct/>
      <w:autoSpaceDE/>
      <w:autoSpaceDN/>
      <w:adjustRightInd/>
      <w:textAlignment w:val="auto"/>
    </w:pPr>
    <w:rPr>
      <w:rFonts w:ascii="Arial" w:hAnsi="Arial"/>
      <w:sz w:val="24"/>
      <w:lang w:val="en-GB" w:eastAsia="en-US"/>
    </w:rPr>
  </w:style>
  <w:style w:type="character" w:styleId="CommentReference">
    <w:name w:val="annotation reference"/>
    <w:rsid w:val="00CB0565"/>
    <w:rPr>
      <w:sz w:val="16"/>
      <w:szCs w:val="16"/>
    </w:rPr>
  </w:style>
  <w:style w:type="paragraph" w:styleId="CommentSubject">
    <w:name w:val="annotation subject"/>
    <w:basedOn w:val="CommentText"/>
    <w:next w:val="CommentText"/>
    <w:link w:val="CommentSubjectChar"/>
    <w:rsid w:val="00CB0565"/>
    <w:rPr>
      <w:b/>
      <w:bCs/>
    </w:rPr>
  </w:style>
  <w:style w:type="character" w:customStyle="1" w:styleId="CommentSubjectChar">
    <w:name w:val="Comment Subject Char"/>
    <w:link w:val="CommentSubject"/>
    <w:rsid w:val="00CB0565"/>
    <w:rPr>
      <w:b/>
      <w:bCs/>
      <w:sz w:val="24"/>
      <w:szCs w:val="24"/>
      <w:lang w:val="en-US"/>
    </w:rPr>
  </w:style>
  <w:style w:type="paragraph" w:styleId="BalloonText">
    <w:name w:val="Balloon Text"/>
    <w:basedOn w:val="Normal"/>
    <w:link w:val="BalloonTextChar"/>
    <w:rsid w:val="00CB0565"/>
    <w:rPr>
      <w:rFonts w:ascii="Tahoma" w:hAnsi="Tahoma"/>
      <w:sz w:val="16"/>
      <w:szCs w:val="16"/>
    </w:rPr>
  </w:style>
  <w:style w:type="character" w:customStyle="1" w:styleId="BalloonTextChar">
    <w:name w:val="Balloon Text Char"/>
    <w:link w:val="BalloonText"/>
    <w:rsid w:val="00CB0565"/>
    <w:rPr>
      <w:rFonts w:ascii="Tahoma" w:hAnsi="Tahoma" w:cs="Tahoma"/>
      <w:sz w:val="16"/>
      <w:szCs w:val="16"/>
      <w:lang w:val="en-US"/>
    </w:rPr>
  </w:style>
  <w:style w:type="paragraph" w:styleId="Revision">
    <w:name w:val="Revision"/>
    <w:hidden/>
    <w:uiPriority w:val="99"/>
    <w:semiHidden/>
    <w:rsid w:val="00E81120"/>
    <w:rPr>
      <w:lang w:val="en-US"/>
    </w:rPr>
  </w:style>
  <w:style w:type="paragraph" w:styleId="FootnoteText">
    <w:name w:val="footnote text"/>
    <w:basedOn w:val="Normal"/>
    <w:link w:val="FootnoteTextChar"/>
    <w:unhideWhenUsed/>
    <w:rsid w:val="00BD5E95"/>
    <w:pPr>
      <w:overflowPunct/>
      <w:autoSpaceDE/>
      <w:autoSpaceDN/>
      <w:adjustRightInd/>
      <w:textAlignment w:val="auto"/>
    </w:pPr>
    <w:rPr>
      <w:lang w:val="en-GB" w:eastAsia="en-US"/>
    </w:rPr>
  </w:style>
  <w:style w:type="character" w:customStyle="1" w:styleId="FootnoteTextChar">
    <w:name w:val="Footnote Text Char"/>
    <w:link w:val="FootnoteText"/>
    <w:rsid w:val="00BD5E95"/>
    <w:rPr>
      <w:lang w:eastAsia="en-US"/>
    </w:rPr>
  </w:style>
  <w:style w:type="character" w:styleId="FootnoteReference">
    <w:name w:val="footnote reference"/>
    <w:unhideWhenUsed/>
    <w:rsid w:val="00BD5E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6343">
      <w:bodyDiv w:val="1"/>
      <w:marLeft w:val="0"/>
      <w:marRight w:val="0"/>
      <w:marTop w:val="0"/>
      <w:marBottom w:val="0"/>
      <w:divBdr>
        <w:top w:val="none" w:sz="0" w:space="0" w:color="auto"/>
        <w:left w:val="none" w:sz="0" w:space="0" w:color="auto"/>
        <w:bottom w:val="none" w:sz="0" w:space="0" w:color="auto"/>
        <w:right w:val="none" w:sz="0" w:space="0" w:color="auto"/>
      </w:divBdr>
    </w:div>
    <w:div w:id="233200871">
      <w:bodyDiv w:val="1"/>
      <w:marLeft w:val="0"/>
      <w:marRight w:val="0"/>
      <w:marTop w:val="0"/>
      <w:marBottom w:val="0"/>
      <w:divBdr>
        <w:top w:val="none" w:sz="0" w:space="0" w:color="auto"/>
        <w:left w:val="none" w:sz="0" w:space="0" w:color="auto"/>
        <w:bottom w:val="none" w:sz="0" w:space="0" w:color="auto"/>
        <w:right w:val="none" w:sz="0" w:space="0" w:color="auto"/>
      </w:divBdr>
    </w:div>
    <w:div w:id="247665214">
      <w:bodyDiv w:val="1"/>
      <w:marLeft w:val="0"/>
      <w:marRight w:val="0"/>
      <w:marTop w:val="0"/>
      <w:marBottom w:val="0"/>
      <w:divBdr>
        <w:top w:val="none" w:sz="0" w:space="0" w:color="auto"/>
        <w:left w:val="none" w:sz="0" w:space="0" w:color="auto"/>
        <w:bottom w:val="none" w:sz="0" w:space="0" w:color="auto"/>
        <w:right w:val="none" w:sz="0" w:space="0" w:color="auto"/>
      </w:divBdr>
    </w:div>
    <w:div w:id="323970731">
      <w:bodyDiv w:val="1"/>
      <w:marLeft w:val="0"/>
      <w:marRight w:val="0"/>
      <w:marTop w:val="0"/>
      <w:marBottom w:val="0"/>
      <w:divBdr>
        <w:top w:val="none" w:sz="0" w:space="0" w:color="auto"/>
        <w:left w:val="none" w:sz="0" w:space="0" w:color="auto"/>
        <w:bottom w:val="none" w:sz="0" w:space="0" w:color="auto"/>
        <w:right w:val="none" w:sz="0" w:space="0" w:color="auto"/>
      </w:divBdr>
    </w:div>
    <w:div w:id="367070853">
      <w:bodyDiv w:val="1"/>
      <w:marLeft w:val="0"/>
      <w:marRight w:val="0"/>
      <w:marTop w:val="0"/>
      <w:marBottom w:val="0"/>
      <w:divBdr>
        <w:top w:val="none" w:sz="0" w:space="0" w:color="auto"/>
        <w:left w:val="none" w:sz="0" w:space="0" w:color="auto"/>
        <w:bottom w:val="none" w:sz="0" w:space="0" w:color="auto"/>
        <w:right w:val="none" w:sz="0" w:space="0" w:color="auto"/>
      </w:divBdr>
    </w:div>
    <w:div w:id="424158132">
      <w:bodyDiv w:val="1"/>
      <w:marLeft w:val="0"/>
      <w:marRight w:val="0"/>
      <w:marTop w:val="0"/>
      <w:marBottom w:val="0"/>
      <w:divBdr>
        <w:top w:val="none" w:sz="0" w:space="0" w:color="auto"/>
        <w:left w:val="none" w:sz="0" w:space="0" w:color="auto"/>
        <w:bottom w:val="none" w:sz="0" w:space="0" w:color="auto"/>
        <w:right w:val="none" w:sz="0" w:space="0" w:color="auto"/>
      </w:divBdr>
    </w:div>
    <w:div w:id="853958584">
      <w:bodyDiv w:val="1"/>
      <w:marLeft w:val="0"/>
      <w:marRight w:val="0"/>
      <w:marTop w:val="0"/>
      <w:marBottom w:val="0"/>
      <w:divBdr>
        <w:top w:val="none" w:sz="0" w:space="0" w:color="auto"/>
        <w:left w:val="none" w:sz="0" w:space="0" w:color="auto"/>
        <w:bottom w:val="none" w:sz="0" w:space="0" w:color="auto"/>
        <w:right w:val="none" w:sz="0" w:space="0" w:color="auto"/>
      </w:divBdr>
    </w:div>
    <w:div w:id="980580261">
      <w:bodyDiv w:val="1"/>
      <w:marLeft w:val="0"/>
      <w:marRight w:val="0"/>
      <w:marTop w:val="0"/>
      <w:marBottom w:val="0"/>
      <w:divBdr>
        <w:top w:val="none" w:sz="0" w:space="0" w:color="auto"/>
        <w:left w:val="none" w:sz="0" w:space="0" w:color="auto"/>
        <w:bottom w:val="none" w:sz="0" w:space="0" w:color="auto"/>
        <w:right w:val="none" w:sz="0" w:space="0" w:color="auto"/>
      </w:divBdr>
    </w:div>
    <w:div w:id="1032607805">
      <w:bodyDiv w:val="1"/>
      <w:marLeft w:val="0"/>
      <w:marRight w:val="0"/>
      <w:marTop w:val="0"/>
      <w:marBottom w:val="0"/>
      <w:divBdr>
        <w:top w:val="none" w:sz="0" w:space="0" w:color="auto"/>
        <w:left w:val="none" w:sz="0" w:space="0" w:color="auto"/>
        <w:bottom w:val="none" w:sz="0" w:space="0" w:color="auto"/>
        <w:right w:val="none" w:sz="0" w:space="0" w:color="auto"/>
      </w:divBdr>
    </w:div>
    <w:div w:id="1112819147">
      <w:bodyDiv w:val="1"/>
      <w:marLeft w:val="0"/>
      <w:marRight w:val="0"/>
      <w:marTop w:val="0"/>
      <w:marBottom w:val="0"/>
      <w:divBdr>
        <w:top w:val="none" w:sz="0" w:space="0" w:color="auto"/>
        <w:left w:val="none" w:sz="0" w:space="0" w:color="auto"/>
        <w:bottom w:val="none" w:sz="0" w:space="0" w:color="auto"/>
        <w:right w:val="none" w:sz="0" w:space="0" w:color="auto"/>
      </w:divBdr>
    </w:div>
    <w:div w:id="1121877561">
      <w:bodyDiv w:val="1"/>
      <w:marLeft w:val="0"/>
      <w:marRight w:val="0"/>
      <w:marTop w:val="0"/>
      <w:marBottom w:val="0"/>
      <w:divBdr>
        <w:top w:val="none" w:sz="0" w:space="0" w:color="auto"/>
        <w:left w:val="none" w:sz="0" w:space="0" w:color="auto"/>
        <w:bottom w:val="none" w:sz="0" w:space="0" w:color="auto"/>
        <w:right w:val="none" w:sz="0" w:space="0" w:color="auto"/>
      </w:divBdr>
    </w:div>
    <w:div w:id="1324354561">
      <w:bodyDiv w:val="1"/>
      <w:marLeft w:val="0"/>
      <w:marRight w:val="0"/>
      <w:marTop w:val="0"/>
      <w:marBottom w:val="0"/>
      <w:divBdr>
        <w:top w:val="none" w:sz="0" w:space="0" w:color="auto"/>
        <w:left w:val="none" w:sz="0" w:space="0" w:color="auto"/>
        <w:bottom w:val="none" w:sz="0" w:space="0" w:color="auto"/>
        <w:right w:val="none" w:sz="0" w:space="0" w:color="auto"/>
      </w:divBdr>
      <w:divsChild>
        <w:div w:id="1643582277">
          <w:marLeft w:val="0"/>
          <w:marRight w:val="0"/>
          <w:marTop w:val="0"/>
          <w:marBottom w:val="0"/>
          <w:divBdr>
            <w:top w:val="none" w:sz="0" w:space="0" w:color="auto"/>
            <w:left w:val="none" w:sz="0" w:space="0" w:color="auto"/>
            <w:bottom w:val="none" w:sz="0" w:space="0" w:color="auto"/>
            <w:right w:val="none" w:sz="0" w:space="0" w:color="auto"/>
          </w:divBdr>
          <w:divsChild>
            <w:div w:id="2031367981">
              <w:marLeft w:val="-300"/>
              <w:marRight w:val="0"/>
              <w:marTop w:val="0"/>
              <w:marBottom w:val="0"/>
              <w:divBdr>
                <w:top w:val="none" w:sz="0" w:space="0" w:color="auto"/>
                <w:left w:val="none" w:sz="0" w:space="0" w:color="auto"/>
                <w:bottom w:val="none" w:sz="0" w:space="0" w:color="auto"/>
                <w:right w:val="none" w:sz="0" w:space="0" w:color="auto"/>
              </w:divBdr>
              <w:divsChild>
                <w:div w:id="699476624">
                  <w:marLeft w:val="0"/>
                  <w:marRight w:val="0"/>
                  <w:marTop w:val="0"/>
                  <w:marBottom w:val="0"/>
                  <w:divBdr>
                    <w:top w:val="none" w:sz="0" w:space="0" w:color="auto"/>
                    <w:left w:val="none" w:sz="0" w:space="0" w:color="auto"/>
                    <w:bottom w:val="none" w:sz="0" w:space="0" w:color="auto"/>
                    <w:right w:val="none" w:sz="0" w:space="0" w:color="auto"/>
                  </w:divBdr>
                  <w:divsChild>
                    <w:div w:id="413625409">
                      <w:marLeft w:val="-300"/>
                      <w:marRight w:val="0"/>
                      <w:marTop w:val="0"/>
                      <w:marBottom w:val="0"/>
                      <w:divBdr>
                        <w:top w:val="none" w:sz="0" w:space="0" w:color="auto"/>
                        <w:left w:val="none" w:sz="0" w:space="0" w:color="auto"/>
                        <w:bottom w:val="none" w:sz="0" w:space="0" w:color="auto"/>
                        <w:right w:val="none" w:sz="0" w:space="0" w:color="auto"/>
                      </w:divBdr>
                      <w:divsChild>
                        <w:div w:id="190992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77930">
      <w:bodyDiv w:val="1"/>
      <w:marLeft w:val="0"/>
      <w:marRight w:val="0"/>
      <w:marTop w:val="0"/>
      <w:marBottom w:val="0"/>
      <w:divBdr>
        <w:top w:val="none" w:sz="0" w:space="0" w:color="auto"/>
        <w:left w:val="none" w:sz="0" w:space="0" w:color="auto"/>
        <w:bottom w:val="none" w:sz="0" w:space="0" w:color="auto"/>
        <w:right w:val="none" w:sz="0" w:space="0" w:color="auto"/>
      </w:divBdr>
    </w:div>
    <w:div w:id="1752963309">
      <w:bodyDiv w:val="1"/>
      <w:marLeft w:val="0"/>
      <w:marRight w:val="0"/>
      <w:marTop w:val="0"/>
      <w:marBottom w:val="0"/>
      <w:divBdr>
        <w:top w:val="none" w:sz="0" w:space="0" w:color="auto"/>
        <w:left w:val="none" w:sz="0" w:space="0" w:color="auto"/>
        <w:bottom w:val="none" w:sz="0" w:space="0" w:color="auto"/>
        <w:right w:val="none" w:sz="0" w:space="0" w:color="auto"/>
      </w:divBdr>
    </w:div>
    <w:div w:id="1808039329">
      <w:bodyDiv w:val="1"/>
      <w:marLeft w:val="0"/>
      <w:marRight w:val="0"/>
      <w:marTop w:val="0"/>
      <w:marBottom w:val="0"/>
      <w:divBdr>
        <w:top w:val="none" w:sz="0" w:space="0" w:color="auto"/>
        <w:left w:val="none" w:sz="0" w:space="0" w:color="auto"/>
        <w:bottom w:val="none" w:sz="0" w:space="0" w:color="auto"/>
        <w:right w:val="none" w:sz="0" w:space="0" w:color="auto"/>
      </w:divBdr>
      <w:divsChild>
        <w:div w:id="1809273504">
          <w:marLeft w:val="0"/>
          <w:marRight w:val="0"/>
          <w:marTop w:val="0"/>
          <w:marBottom w:val="0"/>
          <w:divBdr>
            <w:top w:val="none" w:sz="0" w:space="0" w:color="auto"/>
            <w:left w:val="none" w:sz="0" w:space="0" w:color="auto"/>
            <w:bottom w:val="none" w:sz="0" w:space="0" w:color="auto"/>
            <w:right w:val="none" w:sz="0" w:space="0" w:color="auto"/>
          </w:divBdr>
          <w:divsChild>
            <w:div w:id="1784417000">
              <w:marLeft w:val="0"/>
              <w:marRight w:val="0"/>
              <w:marTop w:val="0"/>
              <w:marBottom w:val="0"/>
              <w:divBdr>
                <w:top w:val="none" w:sz="0" w:space="0" w:color="auto"/>
                <w:left w:val="none" w:sz="0" w:space="0" w:color="auto"/>
                <w:bottom w:val="none" w:sz="0" w:space="0" w:color="auto"/>
                <w:right w:val="none" w:sz="0" w:space="0" w:color="auto"/>
              </w:divBdr>
              <w:divsChild>
                <w:div w:id="1588616368">
                  <w:marLeft w:val="0"/>
                  <w:marRight w:val="0"/>
                  <w:marTop w:val="0"/>
                  <w:marBottom w:val="0"/>
                  <w:divBdr>
                    <w:top w:val="none" w:sz="0" w:space="0" w:color="auto"/>
                    <w:left w:val="none" w:sz="0" w:space="0" w:color="auto"/>
                    <w:bottom w:val="none" w:sz="0" w:space="0" w:color="auto"/>
                    <w:right w:val="none" w:sz="0" w:space="0" w:color="auto"/>
                  </w:divBdr>
                  <w:divsChild>
                    <w:div w:id="1843547140">
                      <w:marLeft w:val="0"/>
                      <w:marRight w:val="0"/>
                      <w:marTop w:val="0"/>
                      <w:marBottom w:val="0"/>
                      <w:divBdr>
                        <w:top w:val="single" w:sz="2" w:space="0" w:color="FFFFFF"/>
                        <w:left w:val="none" w:sz="0" w:space="0" w:color="auto"/>
                        <w:bottom w:val="none" w:sz="0" w:space="0" w:color="auto"/>
                        <w:right w:val="none" w:sz="0" w:space="0" w:color="auto"/>
                      </w:divBdr>
                      <w:divsChild>
                        <w:div w:id="1514102506">
                          <w:marLeft w:val="0"/>
                          <w:marRight w:val="0"/>
                          <w:marTop w:val="0"/>
                          <w:marBottom w:val="0"/>
                          <w:divBdr>
                            <w:top w:val="none" w:sz="0" w:space="0" w:color="auto"/>
                            <w:left w:val="none" w:sz="0" w:space="0" w:color="auto"/>
                            <w:bottom w:val="none" w:sz="0" w:space="0" w:color="auto"/>
                            <w:right w:val="none" w:sz="0" w:space="0" w:color="auto"/>
                          </w:divBdr>
                          <w:divsChild>
                            <w:div w:id="1143888721">
                              <w:marLeft w:val="0"/>
                              <w:marRight w:val="0"/>
                              <w:marTop w:val="0"/>
                              <w:marBottom w:val="0"/>
                              <w:divBdr>
                                <w:top w:val="none" w:sz="0" w:space="0" w:color="auto"/>
                                <w:left w:val="none" w:sz="0" w:space="0" w:color="auto"/>
                                <w:bottom w:val="none" w:sz="0" w:space="0" w:color="auto"/>
                                <w:right w:val="none" w:sz="0" w:space="0" w:color="auto"/>
                              </w:divBdr>
                              <w:divsChild>
                                <w:div w:id="595939902">
                                  <w:marLeft w:val="0"/>
                                  <w:marRight w:val="0"/>
                                  <w:marTop w:val="0"/>
                                  <w:marBottom w:val="0"/>
                                  <w:divBdr>
                                    <w:top w:val="none" w:sz="0" w:space="0" w:color="auto"/>
                                    <w:left w:val="none" w:sz="0" w:space="0" w:color="auto"/>
                                    <w:bottom w:val="none" w:sz="0" w:space="0" w:color="auto"/>
                                    <w:right w:val="none" w:sz="0" w:space="0" w:color="auto"/>
                                  </w:divBdr>
                                  <w:divsChild>
                                    <w:div w:id="279074920">
                                      <w:marLeft w:val="0"/>
                                      <w:marRight w:val="0"/>
                                      <w:marTop w:val="0"/>
                                      <w:marBottom w:val="0"/>
                                      <w:divBdr>
                                        <w:top w:val="none" w:sz="0" w:space="0" w:color="auto"/>
                                        <w:left w:val="none" w:sz="0" w:space="0" w:color="auto"/>
                                        <w:bottom w:val="none" w:sz="0" w:space="0" w:color="auto"/>
                                        <w:right w:val="none" w:sz="0" w:space="0" w:color="auto"/>
                                      </w:divBdr>
                                      <w:divsChild>
                                        <w:div w:id="121400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732911">
      <w:bodyDiv w:val="1"/>
      <w:marLeft w:val="0"/>
      <w:marRight w:val="0"/>
      <w:marTop w:val="0"/>
      <w:marBottom w:val="0"/>
      <w:divBdr>
        <w:top w:val="none" w:sz="0" w:space="0" w:color="auto"/>
        <w:left w:val="none" w:sz="0" w:space="0" w:color="auto"/>
        <w:bottom w:val="none" w:sz="0" w:space="0" w:color="auto"/>
        <w:right w:val="none" w:sz="0" w:space="0" w:color="auto"/>
      </w:divBdr>
    </w:div>
    <w:div w:id="1915315805">
      <w:bodyDiv w:val="1"/>
      <w:marLeft w:val="0"/>
      <w:marRight w:val="0"/>
      <w:marTop w:val="0"/>
      <w:marBottom w:val="0"/>
      <w:divBdr>
        <w:top w:val="none" w:sz="0" w:space="0" w:color="auto"/>
        <w:left w:val="none" w:sz="0" w:space="0" w:color="auto"/>
        <w:bottom w:val="none" w:sz="0" w:space="0" w:color="auto"/>
        <w:right w:val="none" w:sz="0" w:space="0" w:color="auto"/>
      </w:divBdr>
    </w:div>
    <w:div w:id="1946228533">
      <w:bodyDiv w:val="1"/>
      <w:marLeft w:val="0"/>
      <w:marRight w:val="0"/>
      <w:marTop w:val="0"/>
      <w:marBottom w:val="0"/>
      <w:divBdr>
        <w:top w:val="none" w:sz="0" w:space="0" w:color="auto"/>
        <w:left w:val="none" w:sz="0" w:space="0" w:color="auto"/>
        <w:bottom w:val="none" w:sz="0" w:space="0" w:color="auto"/>
        <w:right w:val="none" w:sz="0" w:space="0" w:color="auto"/>
      </w:divBdr>
      <w:divsChild>
        <w:div w:id="1069614240">
          <w:marLeft w:val="0"/>
          <w:marRight w:val="0"/>
          <w:marTop w:val="2400"/>
          <w:marBottom w:val="0"/>
          <w:divBdr>
            <w:top w:val="none" w:sz="0" w:space="0" w:color="auto"/>
            <w:left w:val="none" w:sz="0" w:space="0" w:color="auto"/>
            <w:bottom w:val="none" w:sz="0" w:space="0" w:color="auto"/>
            <w:right w:val="none" w:sz="0" w:space="0" w:color="auto"/>
          </w:divBdr>
          <w:divsChild>
            <w:div w:id="1911042290">
              <w:marLeft w:val="555"/>
              <w:marRight w:val="6390"/>
              <w:marTop w:val="0"/>
              <w:marBottom w:val="0"/>
              <w:divBdr>
                <w:top w:val="none" w:sz="0" w:space="0" w:color="auto"/>
                <w:left w:val="none" w:sz="0" w:space="0" w:color="auto"/>
                <w:bottom w:val="none" w:sz="0" w:space="0" w:color="auto"/>
                <w:right w:val="none" w:sz="0" w:space="0" w:color="auto"/>
              </w:divBdr>
              <w:divsChild>
                <w:div w:id="4608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01344">
      <w:bodyDiv w:val="1"/>
      <w:marLeft w:val="0"/>
      <w:marRight w:val="0"/>
      <w:marTop w:val="0"/>
      <w:marBottom w:val="0"/>
      <w:divBdr>
        <w:top w:val="none" w:sz="0" w:space="0" w:color="auto"/>
        <w:left w:val="none" w:sz="0" w:space="0" w:color="auto"/>
        <w:bottom w:val="none" w:sz="0" w:space="0" w:color="auto"/>
        <w:right w:val="none" w:sz="0" w:space="0" w:color="auto"/>
      </w:divBdr>
    </w:div>
    <w:div w:id="2039499308">
      <w:bodyDiv w:val="1"/>
      <w:marLeft w:val="0"/>
      <w:marRight w:val="0"/>
      <w:marTop w:val="0"/>
      <w:marBottom w:val="0"/>
      <w:divBdr>
        <w:top w:val="none" w:sz="0" w:space="0" w:color="auto"/>
        <w:left w:val="none" w:sz="0" w:space="0" w:color="auto"/>
        <w:bottom w:val="none" w:sz="0" w:space="0" w:color="auto"/>
        <w:right w:val="none" w:sz="0" w:space="0" w:color="auto"/>
      </w:divBdr>
    </w:div>
    <w:div w:id="211847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osr.statisticsauthority.gov.uk/news/osr-publishes-its-review-of-population-estimates-and-projections-produced-by-the-office-for-national-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BB2A9A-2C82-4F46-AC1F-0C7959DA3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3894</Words>
  <Characters>19510</Characters>
  <Application>Microsoft Office Word</Application>
  <DocSecurity>0</DocSecurity>
  <Lines>274</Lines>
  <Paragraphs>29</Paragraphs>
  <ScaleCrop>false</ScaleCrop>
  <HeadingPairs>
    <vt:vector size="2" baseType="variant">
      <vt:variant>
        <vt:lpstr>Title</vt:lpstr>
      </vt:variant>
      <vt:variant>
        <vt:i4>1</vt:i4>
      </vt:variant>
    </vt:vector>
  </HeadingPairs>
  <TitlesOfParts>
    <vt:vector size="1" baseType="lpstr">
      <vt:lpstr/>
    </vt:vector>
  </TitlesOfParts>
  <Company>Campaign to Protect Rural England</Company>
  <LinksUpToDate>false</LinksUpToDate>
  <CharactersWithSpaces>23375</CharactersWithSpaces>
  <SharedDoc>false</SharedDoc>
  <HLinks>
    <vt:vector size="12" baseType="variant">
      <vt:variant>
        <vt:i4>196632</vt:i4>
      </vt:variant>
      <vt:variant>
        <vt:i4>3</vt:i4>
      </vt:variant>
      <vt:variant>
        <vt:i4>0</vt:i4>
      </vt:variant>
      <vt:variant>
        <vt:i4>5</vt:i4>
      </vt:variant>
      <vt:variant>
        <vt:lpwstr>https://www.shropshirestar.com/news/property/2020/01/09/plans-for-thousands-of-homes-in-garden-village-near-tong-will-be-shelved-says-shropshire-council-leader/</vt:lpwstr>
      </vt:variant>
      <vt:variant>
        <vt:lpwstr/>
      </vt:variant>
      <vt:variant>
        <vt:i4>5570564</vt:i4>
      </vt:variant>
      <vt:variant>
        <vt:i4>0</vt:i4>
      </vt:variant>
      <vt:variant>
        <vt:i4>0</vt:i4>
      </vt:variant>
      <vt:variant>
        <vt:i4>5</vt:i4>
      </vt:variant>
      <vt:variant>
        <vt:lpwstr>https://www.planningresource.co.uk/article/1670153/midlands-mayor-dismisses-black-country-planners-call-green-belt-review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Kells</dc:creator>
  <cp:keywords/>
  <cp:lastModifiedBy>Peter King</cp:lastModifiedBy>
  <cp:revision>7</cp:revision>
  <cp:lastPrinted>2023-12-14T14:38:00Z</cp:lastPrinted>
  <dcterms:created xsi:type="dcterms:W3CDTF">2023-12-14T14:35:00Z</dcterms:created>
  <dcterms:modified xsi:type="dcterms:W3CDTF">2023-12-14T16:40:00Z</dcterms:modified>
</cp:coreProperties>
</file>